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0"/>
        <w:framePr w:wrap="around"/>
        <w:rPr>
          <w:rFonts w:eastAsia="宋体"/>
          <w:color w:val="000000"/>
        </w:rPr>
      </w:pPr>
      <w:r>
        <w:rPr>
          <w:rFonts w:hint="eastAsia" w:ascii="Times New Roman"/>
          <w:color w:val="000000"/>
        </w:rPr>
        <w:t xml:space="preserve">ICS </w:t>
      </w:r>
      <w:r>
        <w:rPr>
          <w:rFonts w:ascii="Times New Roman"/>
          <w:color w:val="000000"/>
        </w:rPr>
        <w:t>71.100.40</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shd w:val="clear" w:color="auto" w:fill="auto"/>
          </w:tcPr>
          <w:p>
            <w:pPr>
              <w:pStyle w:val="120"/>
              <w:framePr w:wrap="around"/>
              <w:rPr>
                <w:color w:val="000000"/>
              </w:rPr>
            </w:pPr>
            <w:r>
              <w:rPr>
                <w:color w:val="000000"/>
              </w:rPr>
              <mc:AlternateContent>
                <mc:Choice Requires="wps">
                  <w:drawing>
                    <wp:anchor distT="0" distB="0" distL="114300" distR="114300" simplePos="0" relativeHeight="251663360" behindDoc="1" locked="0" layoutInCell="1" allowOverlap="1">
                      <wp:simplePos x="0" y="0"/>
                      <wp:positionH relativeFrom="column">
                        <wp:posOffset>-66675</wp:posOffset>
                      </wp:positionH>
                      <wp:positionV relativeFrom="paragraph">
                        <wp:posOffset>0</wp:posOffset>
                      </wp:positionV>
                      <wp:extent cx="866775" cy="198120"/>
                      <wp:effectExtent l="4445" t="3810" r="0" b="0"/>
                      <wp:wrapNone/>
                      <wp:docPr id="6"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3120;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yK4v7NUAAAAHAQAADwAAAAAAAAABACAAAAAi&#10;AAAAZHJzL2Rvd25yZXYueG1sUEsBAhQAFAAAAAgAh07iQMhJMdUNAgAAIAQAAA4AAAAAAAAAAQAg&#10;AAAAJAEAAGRycy9lMm9Eb2MueG1sUEsFBgAAAAAGAAYAWQEAAKMFAAAAAA==&#10;">
                      <v:fill on="t" focussize="0,0"/>
                      <v:stroke on="f"/>
                      <v:imagedata o:title=""/>
                      <o:lock v:ext="edit" aspectratio="f"/>
                    </v:rect>
                  </w:pict>
                </mc:Fallback>
              </mc:AlternateContent>
            </w:r>
            <w:r>
              <w:rPr>
                <w:rFonts w:hint="eastAsia"/>
                <w:color w:val="000000"/>
              </w:rPr>
              <w:t>C</w:t>
            </w:r>
            <w:r>
              <w:rPr>
                <w:color w:val="000000"/>
              </w:rPr>
              <w:t>CS G73</w:t>
            </w:r>
          </w:p>
        </w:tc>
      </w:tr>
    </w:tbl>
    <w:p>
      <w:pPr>
        <w:pStyle w:val="106"/>
        <w:framePr w:wrap="around"/>
        <w:rPr>
          <w:color w:val="000000"/>
          <w:w w:val="170"/>
        </w:rPr>
      </w:pPr>
      <w:bookmarkStart w:id="0" w:name="c5"/>
      <w:r>
        <w:rPr>
          <w:color w:val="000000"/>
          <w:w w:val="170"/>
        </w:rPr>
        <w:fldChar w:fldCharType="begin">
          <w:ffData>
            <w:name w:val="c5"/>
            <w:enabled/>
            <w:calcOnExit w:val="0"/>
            <w:entryMacro w:val="ShowHelp17"/>
            <w:textInput/>
          </w:ffData>
        </w:fldChar>
      </w:r>
      <w:r>
        <w:rPr>
          <w:color w:val="000000"/>
          <w:w w:val="170"/>
        </w:rPr>
        <w:instrText xml:space="preserve"> FORMTEXT </w:instrText>
      </w:r>
      <w:r>
        <w:rPr>
          <w:color w:val="000000"/>
          <w:w w:val="170"/>
        </w:rPr>
        <w:fldChar w:fldCharType="separate"/>
      </w:r>
      <w:r>
        <w:rPr>
          <w:rFonts w:hint="eastAsia"/>
          <w:color w:val="000000"/>
          <w:w w:val="170"/>
        </w:rPr>
        <w:t>QB</w:t>
      </w:r>
      <w:r>
        <w:rPr>
          <w:color w:val="000000"/>
          <w:w w:val="170"/>
        </w:rPr>
        <w:fldChar w:fldCharType="end"/>
      </w:r>
      <w:bookmarkEnd w:id="0"/>
    </w:p>
    <w:p>
      <w:pPr>
        <w:pStyle w:val="107"/>
        <w:framePr w:wrap="around"/>
        <w:rPr>
          <w:rFonts w:ascii="Times New Roman" w:hAnsi="Times New Roman"/>
          <w:color w:val="000000"/>
        </w:rPr>
      </w:pPr>
      <w:r>
        <w:rPr>
          <w:rFonts w:hint="eastAsia"/>
          <w:color w:val="000000"/>
        </w:rPr>
        <w:t>中华人民共和国轻工行业标</w:t>
      </w:r>
      <w:r>
        <w:rPr>
          <w:rFonts w:hint="eastAsia" w:ascii="Times New Roman" w:hAnsi="Times New Roman"/>
          <w:color w:val="000000"/>
        </w:rPr>
        <w:t>准</w:t>
      </w:r>
    </w:p>
    <w:p>
      <w:pPr>
        <w:pStyle w:val="37"/>
        <w:framePr w:wrap="around"/>
        <w:rPr>
          <w:color w:val="000000"/>
        </w:rPr>
      </w:pPr>
      <w:r>
        <w:rPr>
          <w:rFonts w:ascii="Times New Roman"/>
          <w:color w:val="000000"/>
        </w:rPr>
        <w:t>Q</w:t>
      </w:r>
      <w:r>
        <w:rPr>
          <w:rFonts w:hint="eastAsia" w:ascii="Times New Roman"/>
          <w:color w:val="000000"/>
        </w:rPr>
        <w:t>B</w:t>
      </w:r>
      <w:r>
        <w:rPr>
          <w:rFonts w:ascii="Times New Roman"/>
          <w:color w:val="000000"/>
        </w:rPr>
        <w:t>/</w:t>
      </w:r>
      <w:r>
        <w:rPr>
          <w:rFonts w:hint="eastAsia" w:ascii="Times New Roman"/>
          <w:color w:val="000000"/>
        </w:rPr>
        <w:t>T</w:t>
      </w:r>
      <w:r>
        <w:rPr>
          <w:color w:val="000000"/>
        </w:rPr>
        <w:t xml:space="preserve"> </w:t>
      </w:r>
      <w:bookmarkStart w:id="1" w:name="StdNo1"/>
      <w:r>
        <w:rPr>
          <w:rFonts w:hint="eastAsia"/>
          <w:color w:val="000000"/>
        </w:rPr>
        <w:t>X</w:t>
      </w:r>
      <w:bookmarkEnd w:id="1"/>
      <w:r>
        <w:rPr>
          <w:rFonts w:hint="eastAsia"/>
          <w:color w:val="000000"/>
        </w:rPr>
        <w:t>XXX</w:t>
      </w:r>
      <w:r>
        <w:rPr>
          <w:color w:val="000000"/>
        </w:rPr>
        <w:t>-XXXX</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66"/>
              <w:framePr w:wrap="around"/>
              <w:rPr>
                <w:color w:val="000000"/>
              </w:rPr>
            </w:pPr>
          </w:p>
        </w:tc>
      </w:tr>
    </w:tbl>
    <w:p>
      <w:pPr>
        <w:pStyle w:val="37"/>
        <w:framePr w:wrap="around"/>
        <w:rPr>
          <w:color w:val="000000"/>
        </w:rPr>
      </w:pPr>
    </w:p>
    <w:p>
      <w:pPr>
        <w:pStyle w:val="37"/>
        <w:framePr w:wrap="around"/>
        <w:rPr>
          <w:color w:val="000000"/>
        </w:rPr>
      </w:pPr>
    </w:p>
    <w:p>
      <w:pPr>
        <w:pStyle w:val="68"/>
        <w:framePr w:wrap="around"/>
        <w:rPr>
          <w:color w:val="000000"/>
        </w:rPr>
      </w:pPr>
      <w:r>
        <w:rPr>
          <w:rFonts w:hint="eastAsia"/>
          <w:color w:val="000000"/>
        </w:rPr>
        <w:t>非离子表面活性剂  椰油酰胺MEA</w:t>
      </w:r>
    </w:p>
    <w:p>
      <w:pPr>
        <w:pStyle w:val="70"/>
        <w:framePr w:wrap="around"/>
        <w:rPr>
          <w:color w:val="000000"/>
        </w:rPr>
      </w:pP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1"/>
              <w:framePr w:wrap="around"/>
              <w:rPr>
                <w:color w:val="000000"/>
              </w:rPr>
            </w:pPr>
            <w:r>
              <w:rPr>
                <w:rFonts w:hint="eastAsia"/>
                <w:color w:val="000000"/>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tcPr>
          <w:p>
            <w:pPr>
              <w:pStyle w:val="72"/>
              <w:framePr w:wrap="around"/>
              <w:rPr>
                <w:color w:val="000000"/>
              </w:rPr>
            </w:pPr>
          </w:p>
        </w:tc>
      </w:tr>
    </w:tbl>
    <w:p>
      <w:pPr>
        <w:pStyle w:val="127"/>
        <w:framePr w:wrap="around" w:hAnchor="page" w:x="1604" w:y="14213"/>
        <w:rPr>
          <w:color w:val="000000"/>
        </w:rPr>
      </w:pPr>
      <w:bookmarkStart w:id="2" w:name="FY"/>
      <w:r>
        <w:rPr>
          <w:rFonts w:ascii="黑体"/>
          <w:color w:val="000000"/>
        </w:rPr>
        <w:fldChar w:fldCharType="begin">
          <w:ffData>
            <w:name w:val="FY"/>
            <w:enabled/>
            <w:calcOnExit w:val="0"/>
            <w:textInput>
              <w:default w:val="XXXX"/>
              <w:maxLength w:val="4"/>
            </w:textInput>
          </w:ffData>
        </w:fldChar>
      </w:r>
      <w:r>
        <w:rPr>
          <w:rFonts w:ascii="黑体"/>
          <w:color w:val="000000"/>
        </w:rPr>
        <w:instrText xml:space="preserve"> FORMTEXT </w:instrText>
      </w:r>
      <w:r>
        <w:rPr>
          <w:rFonts w:ascii="黑体"/>
          <w:color w:val="000000"/>
        </w:rPr>
        <w:fldChar w:fldCharType="separate"/>
      </w:r>
      <w:r>
        <w:rPr>
          <w:rFonts w:ascii="黑体"/>
          <w:color w:val="000000"/>
        </w:rPr>
        <w:t>XXXX</w:t>
      </w:r>
      <w:r>
        <w:rPr>
          <w:rFonts w:ascii="黑体"/>
          <w:color w:val="000000"/>
        </w:rPr>
        <w:fldChar w:fldCharType="end"/>
      </w:r>
      <w:bookmarkEnd w:id="2"/>
      <w:r>
        <w:rPr>
          <w:color w:val="000000"/>
        </w:rPr>
        <w:t xml:space="preserve"> </w:t>
      </w:r>
      <w:r>
        <w:rPr>
          <w:rFonts w:ascii="黑体"/>
          <w:color w:val="000000"/>
        </w:rPr>
        <w:t>–</w:t>
      </w:r>
      <w:r>
        <w:rPr>
          <w:color w:val="000000"/>
        </w:rPr>
        <w:t xml:space="preserve"> </w:t>
      </w:r>
      <w:r>
        <w:rPr>
          <w:rFonts w:ascii="黑体"/>
          <w:color w:val="000000"/>
        </w:rPr>
        <w:fldChar w:fldCharType="begin">
          <w:ffData>
            <w:name w:val="FM"/>
            <w:enabled/>
            <w:calcOnExit w:val="0"/>
            <w:entryMacro w:val="ShowHelp8"/>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hint="eastAsia" w:ascii="黑体"/>
          <w:color w:val="000000"/>
        </w:rPr>
        <w:t>XX</w:t>
      </w:r>
      <w:r>
        <w:rPr>
          <w:rFonts w:ascii="黑体"/>
          <w:color w:val="000000"/>
        </w:rPr>
        <w:fldChar w:fldCharType="end"/>
      </w:r>
      <w:r>
        <w:rPr>
          <w:color w:val="000000"/>
        </w:rPr>
        <w:t xml:space="preserve"> </w:t>
      </w:r>
      <w:r>
        <w:rPr>
          <w:rFonts w:ascii="黑体"/>
          <w:color w:val="000000"/>
        </w:rPr>
        <w:t>-</w:t>
      </w:r>
      <w:r>
        <w:rPr>
          <w:rFonts w:hint="eastAsia" w:ascii="黑体"/>
          <w:color w:val="000000"/>
        </w:rPr>
        <w:t xml:space="preserve"> </w:t>
      </w:r>
      <w:r>
        <w:rPr>
          <w:rFonts w:ascii="黑体"/>
          <w:color w:val="000000"/>
        </w:rPr>
        <w:fldChar w:fldCharType="begin">
          <w:ffData>
            <w:name w:val="FM"/>
            <w:enabled/>
            <w:calcOnExit w:val="0"/>
            <w:entryMacro w:val="ShowHelp8"/>
            <w:textInput>
              <w:default w:val="XX"/>
              <w:maxLength w:val="2"/>
            </w:textInput>
          </w:ffData>
        </w:fldChar>
      </w:r>
      <w:r>
        <w:rPr>
          <w:rFonts w:ascii="黑体"/>
          <w:color w:val="000000"/>
        </w:rPr>
        <w:instrText xml:space="preserve"> FORMTEXT </w:instrText>
      </w:r>
      <w:r>
        <w:rPr>
          <w:rFonts w:ascii="黑体"/>
          <w:color w:val="000000"/>
        </w:rPr>
        <w:fldChar w:fldCharType="separate"/>
      </w:r>
      <w:r>
        <w:rPr>
          <w:rFonts w:hint="eastAsia" w:ascii="黑体"/>
          <w:color w:val="000000"/>
        </w:rPr>
        <w:t>XX</w:t>
      </w:r>
      <w:r>
        <w:rPr>
          <w:rFonts w:ascii="黑体"/>
          <w:color w:val="000000"/>
        </w:rPr>
        <w:fldChar w:fldCharType="end"/>
      </w:r>
      <w:r>
        <w:rPr>
          <w:rFonts w:hint="eastAsia"/>
          <w:color w:val="000000"/>
        </w:rPr>
        <w:t>发布</w:t>
      </w:r>
      <w:r>
        <w:rPr>
          <w:color w:val="000000"/>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4"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B7Q7R3KAQAAoAMAAA4AAAAAAAAAAQAgAAAAJQEAAGRy&#10;cy9lMm9Eb2MueG1sUEsFBgAAAAAGAAYAWQEAAGEFAAAAAA==&#10;">
                <v:fill on="f" focussize="0,0"/>
                <v:stroke color="#000000" joinstyle="round"/>
                <v:imagedata o:title=""/>
                <o:lock v:ext="edit" aspectratio="f"/>
                <w10:anchorlock/>
              </v:line>
            </w:pict>
          </mc:Fallback>
        </mc:AlternateContent>
      </w:r>
    </w:p>
    <w:p>
      <w:pPr>
        <w:pStyle w:val="128"/>
        <w:framePr w:wrap="around" w:hAnchor="page" w:x="6676" w:y="14150"/>
        <w:rPr>
          <w:color w:val="000000"/>
        </w:rPr>
      </w:pPr>
      <w:bookmarkStart w:id="3" w:name="SY"/>
      <w:r>
        <w:rPr>
          <w:rFonts w:ascii="黑体"/>
          <w:color w:val="000000"/>
        </w:rPr>
        <w:fldChar w:fldCharType="begin">
          <w:ffData>
            <w:name w:val="SY"/>
            <w:enabled/>
            <w:calcOnExit w:val="0"/>
            <w:textInput>
              <w:default w:val="XXXX"/>
              <w:maxLength w:val="4"/>
            </w:textInput>
          </w:ffData>
        </w:fldChar>
      </w:r>
      <w:r>
        <w:rPr>
          <w:rFonts w:ascii="黑体"/>
          <w:color w:val="000000"/>
        </w:rPr>
        <w:instrText xml:space="preserve"> FORMTEXT </w:instrText>
      </w:r>
      <w:r>
        <w:rPr>
          <w:rFonts w:ascii="黑体"/>
          <w:color w:val="000000"/>
        </w:rPr>
        <w:fldChar w:fldCharType="separate"/>
      </w:r>
      <w:r>
        <w:rPr>
          <w:rFonts w:ascii="黑体"/>
          <w:color w:val="000000"/>
        </w:rPr>
        <w:t>XXXX</w:t>
      </w:r>
      <w:r>
        <w:rPr>
          <w:rFonts w:ascii="黑体"/>
          <w:color w:val="000000"/>
        </w:rPr>
        <w:fldChar w:fldCharType="end"/>
      </w:r>
      <w:bookmarkEnd w:id="3"/>
      <w:r>
        <w:rPr>
          <w:color w:val="000000"/>
        </w:rPr>
        <w:t xml:space="preserve"> </w:t>
      </w:r>
      <w:r>
        <w:rPr>
          <w:rFonts w:ascii="黑体"/>
          <w:color w:val="000000"/>
        </w:rPr>
        <w:t>–</w:t>
      </w:r>
      <w:r>
        <w:rPr>
          <w:color w:val="000000"/>
        </w:rPr>
        <w:t xml:space="preserve"> </w:t>
      </w:r>
      <w:r>
        <w:rPr>
          <w:rFonts w:hint="eastAsia" w:ascii="黑体"/>
          <w:color w:val="000000"/>
        </w:rPr>
        <w:t>XX</w:t>
      </w:r>
      <w:r>
        <w:rPr>
          <w:color w:val="000000"/>
        </w:rPr>
        <w:t xml:space="preserve"> </w:t>
      </w:r>
      <w:r>
        <w:rPr>
          <w:rFonts w:ascii="黑体"/>
          <w:color w:val="000000"/>
        </w:rPr>
        <w:t>–</w:t>
      </w:r>
      <w:r>
        <w:rPr>
          <w:color w:val="000000"/>
        </w:rPr>
        <w:t xml:space="preserve"> </w:t>
      </w:r>
      <w:r>
        <w:rPr>
          <w:rFonts w:hint="eastAsia" w:ascii="黑体"/>
          <w:color w:val="000000"/>
        </w:rPr>
        <w:t>XX</w:t>
      </w:r>
      <w:r>
        <w:rPr>
          <w:rFonts w:hint="eastAsia"/>
          <w:color w:val="000000"/>
        </w:rPr>
        <w:t>实施</w:t>
      </w:r>
    </w:p>
    <w:p>
      <w:pPr>
        <w:pStyle w:val="108"/>
        <w:framePr w:wrap="around"/>
        <w:rPr>
          <w:color w:val="000000"/>
        </w:rPr>
      </w:pPr>
      <w:bookmarkStart w:id="4" w:name="fm"/>
      <w:r>
        <w:rPr>
          <w:color w:val="000000"/>
          <w:w w:val="100"/>
        </w:rPr>
        <mc:AlternateContent>
          <mc:Choice Requires="wps">
            <w:drawing>
              <wp:anchor distT="0" distB="0" distL="114300" distR="114300" simplePos="0" relativeHeight="251662336" behindDoc="1" locked="0" layoutInCell="1" allowOverlap="1">
                <wp:simplePos x="0" y="0"/>
                <wp:positionH relativeFrom="column">
                  <wp:posOffset>1810385</wp:posOffset>
                </wp:positionH>
                <wp:positionV relativeFrom="paragraph">
                  <wp:posOffset>-3942715</wp:posOffset>
                </wp:positionV>
                <wp:extent cx="1270000" cy="304800"/>
                <wp:effectExtent l="3175" t="0" r="3175" b="3175"/>
                <wp:wrapNone/>
                <wp:docPr id="3"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42.55pt;margin-top:-310.45pt;height:24pt;width:100pt;z-index:-251654144;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bXu1tkAAAANAQAADwAAAAAAAAABACAAAAAi&#10;AAAAZHJzL2Rvd25yZXYueG1sUEsBAhQAFAAAAAgAh07iQBxxlwgJAgAAIAQAAA4AAAAAAAAAAQAg&#10;AAAAKAEAAGRycy9lMm9Eb2MueG1sUEsFBgAAAAAGAAYAWQEAAKMFAAAAAA==&#10;">
                <v:fill on="t" focussize="0,0"/>
                <v:stroke on="f"/>
                <v:imagedata o:title=""/>
                <o:lock v:ext="edit" aspectratio="f"/>
              </v:rect>
            </w:pict>
          </mc:Fallback>
        </mc:AlternateContent>
      </w:r>
      <w:r>
        <w:rPr>
          <w:color w:val="000000"/>
          <w:w w:val="100"/>
        </w:rPr>
        <mc:AlternateContent>
          <mc:Choice Requires="wps">
            <w:drawing>
              <wp:anchor distT="0" distB="0" distL="114300" distR="114300" simplePos="0" relativeHeight="251661312" behindDoc="1" locked="0" layoutInCell="1" allowOverlap="1">
                <wp:simplePos x="0" y="0"/>
                <wp:positionH relativeFrom="column">
                  <wp:posOffset>4413885</wp:posOffset>
                </wp:positionH>
                <wp:positionV relativeFrom="paragraph">
                  <wp:posOffset>-7435215</wp:posOffset>
                </wp:positionV>
                <wp:extent cx="1143000" cy="228600"/>
                <wp:effectExtent l="0" t="0" r="3175" b="0"/>
                <wp:wrapNone/>
                <wp:docPr id="2"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47.55pt;margin-top:-585.45pt;height:18pt;width:90pt;z-index:-251655168;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JihHaAAAADwEAAA8AAAAAAAAAAQAgAAAA&#10;IgAAAGRycy9kb3ducmV2LnhtbFBLAQIUABQAAAAIAIdO4kBdDl7+CQIAACAEAAAOAAAAAAAAAAEA&#10;IAAAACkBAABkcnMvZTJvRG9jLnhtbFBLBQYAAAAABgAGAFkBAACkBQAAAAA=&#10;">
                <v:fill on="t" focussize="0,0"/>
                <v:stroke on="f"/>
                <v:imagedata o:title=""/>
                <o:lock v:ext="edit" aspectratio="f"/>
              </v:rect>
            </w:pict>
          </mc:Fallback>
        </mc:AlternateContent>
      </w:r>
      <w:r>
        <w:rPr>
          <w:color w:val="000000"/>
          <w:w w:val="100"/>
        </w:rPr>
        <mc:AlternateContent>
          <mc:Choice Requires="wps">
            <w:drawing>
              <wp:anchor distT="0" distB="0" distL="114300" distR="114300" simplePos="0" relativeHeight="251660288" behindDoc="0" locked="0" layoutInCell="1" allowOverlap="1">
                <wp:simplePos x="0" y="0"/>
                <wp:positionH relativeFrom="column">
                  <wp:posOffset>-464820</wp:posOffset>
                </wp:positionH>
                <wp:positionV relativeFrom="paragraph">
                  <wp:posOffset>-7021195</wp:posOffset>
                </wp:positionV>
                <wp:extent cx="6120130" cy="0"/>
                <wp:effectExtent l="13970" t="13970" r="9525" b="5080"/>
                <wp:wrapNone/>
                <wp:docPr id="1"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36.6pt;margin-top:-552.85pt;height:0pt;width:481.9pt;z-index:251660288;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OyWRoNgAAAAPAQAADwAAAAAAAAABACAAAAAiAAAAZHJzL2Rv&#10;d25yZXYueG1sUEsBAhQAFAAAAAgAh07iQGl/CrPIAQAAoAMAAA4AAAAAAAAAAQAgAAAAJwEAAGRy&#10;cy9lMm9Eb2MueG1sUEsFBgAAAAAGAAYAWQEAAGEFAAAAAA==&#10;">
                <v:fill on="f" focussize="0,0"/>
                <v:stroke color="#000000" joinstyle="round"/>
                <v:imagedata o:title=""/>
                <o:lock v:ext="edit" aspectratio="f"/>
              </v:line>
            </w:pict>
          </mc:Fallback>
        </mc:AlternateContent>
      </w:r>
      <w:bookmarkStart w:id="5" w:name="_Hlk526950839"/>
      <w:r>
        <w:rPr>
          <w:color w:val="000000"/>
        </w:rPr>
        <w:fldChar w:fldCharType="begin">
          <w:ffData>
            <w:enabled/>
            <w:calcOnExit w:val="0"/>
            <w:textInput/>
          </w:ffData>
        </w:fldChar>
      </w:r>
      <w:r>
        <w:rPr>
          <w:color w:val="000000"/>
        </w:rPr>
        <w:instrText xml:space="preserve"> FORMTEXT </w:instrText>
      </w:r>
      <w:r>
        <w:rPr>
          <w:color w:val="000000"/>
        </w:rPr>
        <w:fldChar w:fldCharType="separate"/>
      </w:r>
      <w:r>
        <w:rPr>
          <w:rFonts w:hint="eastAsia"/>
          <w:color w:val="000000"/>
        </w:rPr>
        <w:t>中华人民共和国工业和信息化部</w:t>
      </w:r>
      <w:r>
        <w:rPr>
          <w:color w:val="000000"/>
        </w:rPr>
        <w:fldChar w:fldCharType="end"/>
      </w:r>
      <w:bookmarkEnd w:id="4"/>
      <w:bookmarkEnd w:id="5"/>
      <w:r>
        <w:rPr>
          <w:color w:val="000000"/>
        </w:rPr>
        <w:t>   </w:t>
      </w:r>
      <w:r>
        <w:rPr>
          <w:rStyle w:val="63"/>
          <w:rFonts w:hint="eastAsia"/>
          <w:color w:val="000000"/>
        </w:rPr>
        <w:t>发布</w:t>
      </w:r>
    </w:p>
    <w:p>
      <w:pPr>
        <w:pStyle w:val="16"/>
        <w:rPr>
          <w:color w:val="000000"/>
        </w:rPr>
        <w:sectPr>
          <w:headerReference r:id="rId3" w:type="even"/>
          <w:footerReference r:id="rId4" w:type="even"/>
          <w:pgSz w:w="11906" w:h="16838"/>
          <w:pgMar w:top="567" w:right="1134" w:bottom="1134" w:left="1417" w:header="0" w:footer="0" w:gutter="0"/>
          <w:pgNumType w:start="1"/>
          <w:cols w:space="425" w:num="1"/>
          <w:docGrid w:type="lines" w:linePitch="312" w:charSpace="0"/>
        </w:sectPr>
      </w:pPr>
      <w:r>
        <w:rPr>
          <w:color w:val="000000"/>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9065260</wp:posOffset>
                </wp:positionV>
                <wp:extent cx="6120130" cy="0"/>
                <wp:effectExtent l="0" t="0" r="0" b="0"/>
                <wp:wrapNone/>
                <wp:docPr id="8"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top:713.8pt;height:0pt;width:481.9pt;mso-position-horizontal:right;mso-position-horizontal-relative:margin;z-index:251664384;mso-width-relative:page;mso-height-relative:page;" filled="f" stroked="t" coordsize="21600,21600" o:gfxdata="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75PV8tUAAAAKAQAADwAAAAAAAAABACAAAAAiAAAAZHJzL2Rvd25y&#10;ZXYueG1sUEsBAhQAFAAAAAgAh07iQOf/YNXIAQAAoAMAAA4AAAAAAAAAAQAgAAAAJAEAAGRycy9l&#10;Mm9Eb2MueG1sUEsFBgAAAAAGAAYAWQEAAF4FAAAAAA==&#10;">
                <v:fill on="f" focussize="0,0"/>
                <v:stroke color="#000000" joinstyle="round"/>
                <v:imagedata o:title=""/>
                <o:lock v:ext="edit" aspectratio="f"/>
              </v:line>
            </w:pict>
          </mc:Fallback>
        </mc:AlternateContent>
      </w:r>
    </w:p>
    <w:p>
      <w:pPr>
        <w:pStyle w:val="109"/>
        <w:rPr>
          <w:color w:val="000000"/>
        </w:rPr>
      </w:pPr>
      <w:bookmarkStart w:id="6" w:name="_Toc299109817"/>
      <w:bookmarkStart w:id="7" w:name="_Toc299109868"/>
      <w:bookmarkStart w:id="8" w:name="_Toc354348730"/>
      <w:bookmarkStart w:id="9" w:name="_Toc352579588"/>
      <w:bookmarkStart w:id="10" w:name="_Toc352579633"/>
      <w:r>
        <w:rPr>
          <w:rFonts w:hint="eastAsia"/>
          <w:color w:val="000000"/>
        </w:rPr>
        <w:t>前</w:t>
      </w:r>
      <w:bookmarkStart w:id="11" w:name="BKQY"/>
      <w:r>
        <w:rPr>
          <w:color w:val="000000"/>
        </w:rPr>
        <w:t>  </w:t>
      </w:r>
      <w:r>
        <w:rPr>
          <w:rFonts w:hint="eastAsia"/>
          <w:color w:val="000000"/>
        </w:rPr>
        <w:t>言</w:t>
      </w:r>
      <w:bookmarkEnd w:id="6"/>
      <w:bookmarkEnd w:id="7"/>
      <w:bookmarkEnd w:id="8"/>
      <w:bookmarkEnd w:id="9"/>
      <w:bookmarkEnd w:id="10"/>
      <w:bookmarkEnd w:id="11"/>
    </w:p>
    <w:p>
      <w:pPr>
        <w:pStyle w:val="16"/>
        <w:rPr>
          <w:rFonts w:hAnsi="宋体"/>
        </w:rPr>
      </w:pPr>
      <w:r>
        <w:rPr>
          <w:rFonts w:hint="eastAsia" w:hAnsi="宋体"/>
        </w:rPr>
        <w:t>本文件按照GB/T 1.1</w:t>
      </w:r>
      <w:r>
        <w:rPr>
          <w:rFonts w:hAnsi="宋体"/>
        </w:rPr>
        <w:t>-</w:t>
      </w:r>
      <w:r>
        <w:rPr>
          <w:rFonts w:hint="eastAsia" w:hAnsi="宋体"/>
        </w:rPr>
        <w:t>2020给出的规则起草。</w:t>
      </w:r>
    </w:p>
    <w:p>
      <w:pPr>
        <w:pStyle w:val="38"/>
        <w:numPr>
          <w:ilvl w:val="0"/>
          <w:numId w:val="0"/>
        </w:numPr>
        <w:ind w:left="432"/>
        <w:rPr>
          <w:rFonts w:hAnsi="宋体"/>
        </w:rPr>
      </w:pPr>
      <w:r>
        <w:rPr>
          <w:rFonts w:hint="eastAsia" w:hAnsi="宋体"/>
        </w:rPr>
        <w:t>本文件由中国轻工业联合会提出。</w:t>
      </w:r>
    </w:p>
    <w:p>
      <w:pPr>
        <w:pStyle w:val="16"/>
        <w:rPr>
          <w:rFonts w:hAnsi="宋体"/>
        </w:rPr>
      </w:pPr>
      <w:r>
        <w:rPr>
          <w:rFonts w:hint="eastAsia" w:hAnsi="宋体"/>
        </w:rPr>
        <w:t>本文件由全国表面活性剂和洗涤用品标准化技术委员会（SAC/TC272)归口。</w:t>
      </w:r>
    </w:p>
    <w:p>
      <w:pPr>
        <w:pStyle w:val="16"/>
        <w:rPr>
          <w:rFonts w:hAnsi="宋体"/>
        </w:rPr>
      </w:pPr>
      <w:r>
        <w:rPr>
          <w:rFonts w:hint="eastAsia" w:hAnsi="宋体"/>
        </w:rPr>
        <w:t>本文件起草单位：</w:t>
      </w:r>
    </w:p>
    <w:p>
      <w:pPr>
        <w:pStyle w:val="16"/>
      </w:pPr>
      <w:r>
        <w:rPr>
          <w:rFonts w:hint="eastAsia" w:hAnsi="宋体"/>
        </w:rPr>
        <w:t>本文件主要起草人：</w:t>
      </w:r>
    </w:p>
    <w:p>
      <w:pPr>
        <w:pStyle w:val="16"/>
        <w:rPr>
          <w:color w:val="000000"/>
        </w:rPr>
        <w:sectPr>
          <w:headerReference r:id="rId5" w:type="default"/>
          <w:footerReference r:id="rId6" w:type="default"/>
          <w:pgSz w:w="11906" w:h="16838"/>
          <w:pgMar w:top="567" w:right="1134" w:bottom="1134" w:left="1417" w:header="850" w:footer="850" w:gutter="0"/>
          <w:pgNumType w:fmt="upperRoman" w:start="1"/>
          <w:cols w:space="425" w:num="1"/>
          <w:formProt w:val="0"/>
          <w:docGrid w:type="lines" w:linePitch="312" w:charSpace="0"/>
        </w:sectPr>
      </w:pPr>
      <w:r>
        <w:rPr>
          <w:rFonts w:hint="eastAsia" w:hAnsi="宋体"/>
        </w:rPr>
        <w:t>本文件</w:t>
      </w:r>
      <w:r>
        <w:rPr>
          <w:rFonts w:hint="eastAsia"/>
        </w:rPr>
        <w:t>为首次发布。</w:t>
      </w:r>
    </w:p>
    <w:p>
      <w:pPr>
        <w:pStyle w:val="40"/>
        <w:rPr>
          <w:color w:val="000000"/>
        </w:rPr>
      </w:pPr>
      <w:r>
        <w:rPr>
          <w:rFonts w:hint="eastAsia"/>
        </w:rPr>
        <w:t>非离子表面活性剂  椰</w:t>
      </w:r>
      <w:bookmarkStart w:id="12" w:name="StandardName"/>
      <w:r>
        <w:rPr>
          <w:rFonts w:hint="eastAsia"/>
        </w:rPr>
        <w:t>油</w:t>
      </w:r>
      <w:bookmarkEnd w:id="12"/>
      <w:r>
        <w:rPr>
          <w:rFonts w:hint="eastAsia"/>
        </w:rPr>
        <w:t>酰胺MEA</w:t>
      </w:r>
    </w:p>
    <w:p>
      <w:pPr>
        <w:pStyle w:val="35"/>
        <w:rPr>
          <w:color w:val="000000"/>
        </w:rPr>
      </w:pPr>
      <w:bookmarkStart w:id="13" w:name="_Toc299109818"/>
      <w:bookmarkStart w:id="14" w:name="_Toc352579634"/>
      <w:bookmarkStart w:id="15" w:name="_Toc354348731"/>
      <w:bookmarkStart w:id="16" w:name="_Toc299109869"/>
      <w:bookmarkStart w:id="17" w:name="_Toc352579589"/>
      <w:r>
        <w:rPr>
          <w:rFonts w:hint="eastAsia"/>
          <w:color w:val="000000"/>
        </w:rPr>
        <w:t>范围</w:t>
      </w:r>
      <w:bookmarkEnd w:id="13"/>
      <w:bookmarkEnd w:id="14"/>
      <w:bookmarkEnd w:id="15"/>
      <w:bookmarkEnd w:id="16"/>
      <w:bookmarkEnd w:id="17"/>
    </w:p>
    <w:p>
      <w:pPr>
        <w:pStyle w:val="16"/>
      </w:pPr>
      <w:r>
        <w:rPr>
          <w:rFonts w:hint="eastAsia"/>
        </w:rPr>
        <w:t>本文件规定了非离子表面活性剂椰油酰胺MEA（简称CMEA）的分类、技术要求、试验方法、检验规则、标志、包装、运输、贮存和保质期。</w:t>
      </w:r>
    </w:p>
    <w:p>
      <w:pPr>
        <w:pStyle w:val="16"/>
        <w:ind w:firstLine="0" w:firstLineChars="0"/>
      </w:pPr>
      <w:r>
        <w:rPr>
          <w:rFonts w:hint="eastAsia"/>
        </w:rPr>
        <w:t>本文件适用于椰子油、棕榈仁油或椰油酸甲酯与单乙醇胺缩合而成的非离子表面活性剂椰油酰胺MEA 。 椰油酰胺MEA的分子式为：RCONHCH</w:t>
      </w:r>
      <w:r>
        <w:rPr>
          <w:rFonts w:hint="eastAsia"/>
          <w:vertAlign w:val="subscript"/>
        </w:rPr>
        <w:t>2</w:t>
      </w:r>
      <w:r>
        <w:rPr>
          <w:rFonts w:hint="eastAsia"/>
        </w:rPr>
        <w:t>CH</w:t>
      </w:r>
      <w:r>
        <w:rPr>
          <w:rFonts w:hint="eastAsia"/>
          <w:vertAlign w:val="subscript"/>
        </w:rPr>
        <w:t>2</w:t>
      </w:r>
      <w:r>
        <w:rPr>
          <w:rFonts w:hint="eastAsia"/>
        </w:rPr>
        <w:t>OH         （R：椰油基）</w:t>
      </w:r>
    </w:p>
    <w:p>
      <w:pPr>
        <w:pStyle w:val="35"/>
        <w:rPr>
          <w:color w:val="000000"/>
        </w:rPr>
      </w:pPr>
      <w:bookmarkStart w:id="18" w:name="_Toc352579635"/>
      <w:bookmarkStart w:id="19" w:name="_Toc354348732"/>
      <w:bookmarkStart w:id="20" w:name="_Toc352579590"/>
      <w:bookmarkStart w:id="21" w:name="_Toc299109870"/>
      <w:bookmarkStart w:id="22" w:name="_Toc299109819"/>
      <w:r>
        <w:rPr>
          <w:rFonts w:hint="eastAsia"/>
          <w:color w:val="000000"/>
        </w:rPr>
        <w:t>规范性引用文件</w:t>
      </w:r>
      <w:bookmarkEnd w:id="18"/>
      <w:bookmarkEnd w:id="19"/>
      <w:bookmarkEnd w:id="20"/>
      <w:bookmarkEnd w:id="21"/>
      <w:bookmarkEnd w:id="22"/>
    </w:p>
    <w:p>
      <w:pPr>
        <w:pStyle w:val="16"/>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16"/>
        <w:rPr>
          <w:color w:val="000000"/>
        </w:rPr>
      </w:pPr>
      <w:r>
        <w:rPr>
          <w:rFonts w:hint="eastAsia"/>
          <w:color w:val="000000"/>
        </w:rPr>
        <w:t>GB/T 3143  液体化学品颜色测定法（Hazen单位-铂-钴色号）</w:t>
      </w:r>
    </w:p>
    <w:p>
      <w:pPr>
        <w:pStyle w:val="16"/>
        <w:rPr>
          <w:color w:val="000000"/>
        </w:rPr>
      </w:pPr>
      <w:r>
        <w:rPr>
          <w:rFonts w:hint="eastAsia"/>
          <w:color w:val="000000"/>
        </w:rPr>
        <w:t>GB/T 6368  表面活性剂  水溶液pH值的测定  电位法</w:t>
      </w:r>
    </w:p>
    <w:p>
      <w:pPr>
        <w:pStyle w:val="16"/>
        <w:rPr>
          <w:color w:val="000000"/>
        </w:rPr>
      </w:pPr>
      <w:r>
        <w:rPr>
          <w:rFonts w:hint="eastAsia"/>
          <w:color w:val="000000"/>
        </w:rPr>
        <w:t>GB/T 6682  分析实验室用水规格和试验方法</w:t>
      </w:r>
    </w:p>
    <w:p>
      <w:pPr>
        <w:pStyle w:val="16"/>
        <w:rPr>
          <w:color w:val="000000"/>
        </w:rPr>
      </w:pPr>
      <w:r>
        <w:rPr>
          <w:rFonts w:hint="eastAsia"/>
          <w:color w:val="000000"/>
        </w:rPr>
        <w:t>GB/T 8170  数值修约规则与极限数值的表示和判定</w:t>
      </w:r>
    </w:p>
    <w:p>
      <w:pPr>
        <w:pStyle w:val="35"/>
      </w:pPr>
      <w:r>
        <w:rPr>
          <w:rFonts w:hint="eastAsia"/>
        </w:rPr>
        <w:t>分类</w:t>
      </w:r>
    </w:p>
    <w:p>
      <w:pPr>
        <w:pStyle w:val="16"/>
        <w:ind w:firstLine="0" w:firstLineChars="0"/>
      </w:pPr>
      <w:r>
        <w:rPr>
          <w:rFonts w:hint="eastAsia"/>
        </w:rPr>
        <w:t>产品根据所用的原料和工艺的不同分为以下两种型号规格：</w:t>
      </w:r>
    </w:p>
    <w:p>
      <w:pPr>
        <w:pStyle w:val="16"/>
        <w:ind w:firstLine="0" w:firstLineChars="0"/>
      </w:pPr>
      <w:r>
        <w:rPr>
          <w:rFonts w:hint="eastAsia"/>
        </w:rPr>
        <w:t>A型：不含甘油型椰油酰胺MEA，简称CMEA-A；</w:t>
      </w:r>
    </w:p>
    <w:p>
      <w:pPr>
        <w:pStyle w:val="16"/>
        <w:ind w:firstLine="0" w:firstLineChars="0"/>
      </w:pPr>
      <w:r>
        <w:rPr>
          <w:rFonts w:hint="eastAsia"/>
        </w:rPr>
        <w:t>B型：含甘油型椰油酰胺MEA，简称CMEA-B。</w:t>
      </w:r>
    </w:p>
    <w:p>
      <w:pPr>
        <w:pStyle w:val="35"/>
      </w:pPr>
      <w:r>
        <w:rPr>
          <w:rFonts w:hint="eastAsia"/>
        </w:rPr>
        <w:t>技术要求</w:t>
      </w:r>
    </w:p>
    <w:p>
      <w:pPr>
        <w:spacing w:line="320" w:lineRule="exact"/>
        <w:ind w:firstLine="420" w:firstLineChars="200"/>
        <w:rPr>
          <w:rFonts w:ascii="宋体" w:hAnsi="宋体"/>
        </w:rPr>
      </w:pPr>
      <w:r>
        <w:rPr>
          <w:rFonts w:hint="eastAsia" w:ascii="宋体" w:hAnsi="宋体"/>
        </w:rPr>
        <w:t>技术指标应符合表1规定。</w:t>
      </w:r>
    </w:p>
    <w:p>
      <w:pPr>
        <w:pStyle w:val="123"/>
        <w:spacing w:before="0" w:beforeLines="0" w:after="0" w:afterLines="0"/>
        <w:ind w:left="0"/>
      </w:pPr>
      <w:r>
        <w:rPr>
          <w:rFonts w:hint="eastAsia"/>
        </w:rPr>
        <w:t>技术指标</w:t>
      </w:r>
    </w:p>
    <w:tbl>
      <w:tblPr>
        <w:tblStyle w:val="22"/>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835"/>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vMerge w:val="restart"/>
            <w:vAlign w:val="center"/>
          </w:tcPr>
          <w:p>
            <w:pPr>
              <w:spacing w:line="320" w:lineRule="exact"/>
              <w:jc w:val="center"/>
              <w:rPr>
                <w:rFonts w:ascii="宋体" w:hAnsi="宋体"/>
                <w:sz w:val="18"/>
              </w:rPr>
            </w:pPr>
            <w:r>
              <w:rPr>
                <w:rFonts w:hint="eastAsia" w:ascii="宋体" w:hAnsi="宋体"/>
                <w:sz w:val="18"/>
              </w:rPr>
              <w:t>项   目</w:t>
            </w:r>
          </w:p>
        </w:tc>
        <w:tc>
          <w:tcPr>
            <w:tcW w:w="6241" w:type="dxa"/>
            <w:gridSpan w:val="2"/>
          </w:tcPr>
          <w:p>
            <w:pPr>
              <w:spacing w:line="320" w:lineRule="exact"/>
              <w:jc w:val="center"/>
              <w:rPr>
                <w:rFonts w:ascii="宋体" w:hAnsi="宋体"/>
                <w:sz w:val="18"/>
              </w:rPr>
            </w:pPr>
            <w:r>
              <w:rPr>
                <w:rFonts w:hint="eastAsia" w:ascii="宋体" w:hAnsi="宋体"/>
                <w:sz w:val="18"/>
              </w:rPr>
              <w:t>指     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vMerge w:val="continue"/>
          </w:tcPr>
          <w:p>
            <w:pPr>
              <w:spacing w:line="320" w:lineRule="exact"/>
              <w:jc w:val="center"/>
              <w:rPr>
                <w:rFonts w:ascii="宋体" w:hAnsi="宋体"/>
                <w:sz w:val="18"/>
              </w:rPr>
            </w:pPr>
          </w:p>
        </w:tc>
        <w:tc>
          <w:tcPr>
            <w:tcW w:w="2835" w:type="dxa"/>
          </w:tcPr>
          <w:p>
            <w:pPr>
              <w:spacing w:line="320" w:lineRule="exact"/>
              <w:jc w:val="center"/>
              <w:rPr>
                <w:rFonts w:ascii="宋体" w:hAnsi="宋体"/>
                <w:sz w:val="18"/>
              </w:rPr>
            </w:pPr>
            <w:r>
              <w:rPr>
                <w:rFonts w:hint="eastAsia" w:ascii="宋体" w:hAnsi="宋体"/>
                <w:sz w:val="18"/>
              </w:rPr>
              <w:t>A型</w:t>
            </w:r>
          </w:p>
        </w:tc>
        <w:tc>
          <w:tcPr>
            <w:tcW w:w="3406" w:type="dxa"/>
          </w:tcPr>
          <w:p>
            <w:pPr>
              <w:spacing w:line="320" w:lineRule="exact"/>
              <w:jc w:val="center"/>
              <w:rPr>
                <w:rFonts w:ascii="宋体" w:hAnsi="宋体"/>
                <w:sz w:val="18"/>
              </w:rPr>
            </w:pPr>
            <w:r>
              <w:rPr>
                <w:rFonts w:hint="eastAsia" w:ascii="宋体" w:hAnsi="宋体"/>
                <w:sz w:val="18"/>
              </w:rPr>
              <w:t>B型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tcPr>
          <w:p>
            <w:pPr>
              <w:spacing w:line="320" w:lineRule="exact"/>
              <w:rPr>
                <w:rFonts w:ascii="宋体" w:hAnsi="宋体"/>
                <w:sz w:val="18"/>
              </w:rPr>
            </w:pPr>
            <w:r>
              <w:rPr>
                <w:rFonts w:hint="eastAsia" w:ascii="宋体" w:hAnsi="宋体"/>
                <w:sz w:val="18"/>
              </w:rPr>
              <w:t>外观（25℃）</w:t>
            </w:r>
          </w:p>
        </w:tc>
        <w:tc>
          <w:tcPr>
            <w:tcW w:w="6241" w:type="dxa"/>
            <w:gridSpan w:val="2"/>
            <w:vAlign w:val="center"/>
          </w:tcPr>
          <w:p>
            <w:pPr>
              <w:spacing w:line="320" w:lineRule="exact"/>
              <w:ind w:firstLine="360" w:firstLineChars="200"/>
              <w:jc w:val="center"/>
              <w:rPr>
                <w:rFonts w:ascii="宋体" w:hAnsi="宋体"/>
                <w:sz w:val="18"/>
              </w:rPr>
            </w:pPr>
            <w:r>
              <w:rPr>
                <w:rFonts w:hint="eastAsia" w:ascii="宋体" w:hAnsi="宋体"/>
                <w:sz w:val="18"/>
              </w:rPr>
              <w:t>白色或淡黄色片状固体。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tcPr>
          <w:p>
            <w:pPr>
              <w:spacing w:line="320" w:lineRule="exact"/>
              <w:rPr>
                <w:rFonts w:ascii="宋体" w:hAnsi="宋体"/>
                <w:sz w:val="18"/>
              </w:rPr>
            </w:pPr>
            <w:r>
              <w:rPr>
                <w:rFonts w:hint="eastAsia" w:ascii="宋体" w:hAnsi="宋体"/>
                <w:sz w:val="18"/>
              </w:rPr>
              <w:t>气味</w:t>
            </w:r>
          </w:p>
        </w:tc>
        <w:tc>
          <w:tcPr>
            <w:tcW w:w="6241" w:type="dxa"/>
            <w:gridSpan w:val="2"/>
          </w:tcPr>
          <w:p>
            <w:pPr>
              <w:spacing w:line="320" w:lineRule="exact"/>
              <w:jc w:val="center"/>
              <w:rPr>
                <w:rFonts w:ascii="宋体" w:hAnsi="宋体"/>
                <w:sz w:val="18"/>
              </w:rPr>
            </w:pPr>
            <w:r>
              <w:rPr>
                <w:rFonts w:ascii="宋体" w:hAnsi="宋体"/>
                <w:sz w:val="18"/>
              </w:rPr>
              <w:tab/>
            </w:r>
            <w:r>
              <w:rPr>
                <w:rFonts w:hint="eastAsia" w:ascii="宋体" w:hAnsi="宋体"/>
                <w:sz w:val="18"/>
              </w:rPr>
              <w:t>轻微特征气味</w:t>
            </w:r>
            <w:r>
              <w:rPr>
                <w:rFonts w:ascii="宋体" w:hAnsi="宋体"/>
                <w:sz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tcPr>
          <w:p>
            <w:pPr>
              <w:spacing w:line="320" w:lineRule="exact"/>
              <w:jc w:val="left"/>
              <w:rPr>
                <w:rFonts w:ascii="宋体" w:hAnsi="宋体"/>
                <w:sz w:val="18"/>
              </w:rPr>
            </w:pPr>
            <w:r>
              <w:rPr>
                <w:rFonts w:hint="eastAsia" w:ascii="宋体" w:hAnsi="宋体"/>
                <w:sz w:val="18"/>
              </w:rPr>
              <w:t>pH值（</w:t>
            </w:r>
            <w:r>
              <w:rPr>
                <w:rFonts w:hint="eastAsia" w:ascii="宋体" w:hAnsi="宋体"/>
                <w:bCs/>
              </w:rPr>
              <w:t>10g/L，10%</w:t>
            </w:r>
            <w:r>
              <w:rPr>
                <w:rFonts w:hint="eastAsia" w:ascii="宋体" w:hAnsi="宋体"/>
                <w:sz w:val="18"/>
              </w:rPr>
              <w:t>乙醇水溶液）</w:t>
            </w:r>
          </w:p>
        </w:tc>
        <w:tc>
          <w:tcPr>
            <w:tcW w:w="6241" w:type="dxa"/>
            <w:gridSpan w:val="2"/>
          </w:tcPr>
          <w:p>
            <w:pPr>
              <w:spacing w:line="320" w:lineRule="exact"/>
              <w:jc w:val="center"/>
              <w:rPr>
                <w:rFonts w:ascii="宋体" w:hAnsi="宋体"/>
                <w:sz w:val="18"/>
              </w:rPr>
            </w:pPr>
            <w:r>
              <w:rPr>
                <w:rFonts w:hint="eastAsia" w:ascii="宋体" w:hAnsi="宋体"/>
                <w:sz w:val="18"/>
              </w:rPr>
              <w:t>8.0～11.0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tcPr>
          <w:p>
            <w:pPr>
              <w:spacing w:line="320" w:lineRule="exact"/>
              <w:jc w:val="left"/>
              <w:rPr>
                <w:rFonts w:ascii="宋体" w:hAnsi="宋体"/>
                <w:sz w:val="18"/>
              </w:rPr>
            </w:pPr>
            <w:r>
              <w:rPr>
                <w:rFonts w:hint="eastAsia" w:ascii="宋体" w:hAnsi="宋体"/>
                <w:sz w:val="18"/>
              </w:rPr>
              <w:t>色泽，（10%乙醇溶液）Hazen   ≤</w:t>
            </w:r>
          </w:p>
        </w:tc>
        <w:tc>
          <w:tcPr>
            <w:tcW w:w="2835" w:type="dxa"/>
          </w:tcPr>
          <w:p>
            <w:pPr>
              <w:spacing w:line="320" w:lineRule="exact"/>
              <w:jc w:val="center"/>
              <w:rPr>
                <w:rFonts w:ascii="宋体" w:hAnsi="宋体"/>
                <w:sz w:val="18"/>
              </w:rPr>
            </w:pPr>
            <w:r>
              <w:rPr>
                <w:rFonts w:hint="eastAsia" w:ascii="宋体" w:hAnsi="宋体"/>
                <w:sz w:val="18"/>
              </w:rPr>
              <w:t>50</w:t>
            </w:r>
          </w:p>
        </w:tc>
        <w:tc>
          <w:tcPr>
            <w:tcW w:w="3406" w:type="dxa"/>
          </w:tcPr>
          <w:p>
            <w:pPr>
              <w:spacing w:line="320" w:lineRule="exact"/>
              <w:jc w:val="center"/>
              <w:rPr>
                <w:rFonts w:ascii="宋体" w:hAnsi="宋体"/>
                <w:sz w:val="18"/>
              </w:rPr>
            </w:pPr>
            <w:r>
              <w:rPr>
                <w:rFonts w:hint="eastAsia" w:ascii="宋体" w:hAnsi="宋体"/>
                <w:sz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tcPr>
          <w:p>
            <w:pPr>
              <w:spacing w:line="320" w:lineRule="exact"/>
              <w:jc w:val="left"/>
              <w:rPr>
                <w:rFonts w:ascii="宋体" w:hAnsi="宋体"/>
                <w:sz w:val="18"/>
              </w:rPr>
            </w:pPr>
            <w:r>
              <w:rPr>
                <w:rFonts w:hint="eastAsia" w:ascii="宋体" w:hAnsi="宋体"/>
                <w:sz w:val="18"/>
              </w:rPr>
              <w:t>胺值，mgKOH/g                ≤</w:t>
            </w:r>
          </w:p>
        </w:tc>
        <w:tc>
          <w:tcPr>
            <w:tcW w:w="2835" w:type="dxa"/>
          </w:tcPr>
          <w:p>
            <w:pPr>
              <w:spacing w:line="320" w:lineRule="exact"/>
              <w:jc w:val="center"/>
              <w:rPr>
                <w:rFonts w:ascii="宋体" w:hAnsi="宋体"/>
                <w:sz w:val="18"/>
              </w:rPr>
            </w:pPr>
            <w:r>
              <w:rPr>
                <w:rFonts w:hint="eastAsia" w:ascii="宋体" w:hAnsi="宋体"/>
                <w:sz w:val="18"/>
              </w:rPr>
              <w:t>10</w:t>
            </w:r>
            <w:r>
              <w:rPr>
                <w:rFonts w:ascii="宋体" w:hAnsi="宋体"/>
                <w:sz w:val="18"/>
              </w:rPr>
              <w:t>.</w:t>
            </w:r>
            <w:r>
              <w:rPr>
                <w:rFonts w:hint="eastAsia" w:ascii="宋体" w:hAnsi="宋体"/>
                <w:sz w:val="18"/>
              </w:rPr>
              <w:t>0</w:t>
            </w:r>
          </w:p>
        </w:tc>
        <w:tc>
          <w:tcPr>
            <w:tcW w:w="3406" w:type="dxa"/>
          </w:tcPr>
          <w:p>
            <w:pPr>
              <w:spacing w:line="320" w:lineRule="exact"/>
              <w:jc w:val="center"/>
              <w:rPr>
                <w:rFonts w:ascii="宋体" w:hAnsi="宋体"/>
                <w:sz w:val="18"/>
              </w:rPr>
            </w:pPr>
            <w:r>
              <w:rPr>
                <w:rFonts w:hint="eastAsia" w:ascii="宋体" w:hAnsi="宋体"/>
                <w:sz w:val="18"/>
              </w:rPr>
              <w:t>12</w:t>
            </w:r>
            <w:r>
              <w:rPr>
                <w:rFonts w:ascii="宋体" w:hAnsi="宋体"/>
                <w:sz w:val="18"/>
              </w:rPr>
              <w:t>.</w:t>
            </w:r>
            <w:r>
              <w:rPr>
                <w:rFonts w:hint="eastAsia" w:ascii="宋体" w:hAnsi="宋体"/>
                <w:sz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tcPr>
          <w:p>
            <w:pPr>
              <w:spacing w:line="320" w:lineRule="exact"/>
              <w:jc w:val="left"/>
              <w:rPr>
                <w:rFonts w:hint="default" w:ascii="宋体" w:hAnsi="宋体" w:eastAsia="宋体"/>
                <w:sz w:val="18"/>
                <w:highlight w:val="none"/>
                <w:lang w:val="en-US" w:eastAsia="zh-CN"/>
              </w:rPr>
            </w:pPr>
            <w:r>
              <w:rPr>
                <w:rFonts w:hint="eastAsia" w:ascii="宋体" w:hAnsi="宋体"/>
                <w:sz w:val="18"/>
                <w:highlight w:val="none"/>
                <w:lang w:val="en-US" w:eastAsia="zh-CN"/>
              </w:rPr>
              <w:t xml:space="preserve">残余胺含量，%                </w:t>
            </w:r>
            <w:r>
              <w:rPr>
                <w:rFonts w:hint="eastAsia" w:ascii="宋体" w:hAnsi="宋体"/>
                <w:sz w:val="18"/>
                <w:highlight w:val="none"/>
              </w:rPr>
              <w:t>≤</w:t>
            </w:r>
            <w:r>
              <w:rPr>
                <w:rFonts w:hint="eastAsia" w:ascii="宋体" w:hAnsi="宋体"/>
                <w:sz w:val="18"/>
                <w:highlight w:val="none"/>
                <w:lang w:val="en-US" w:eastAsia="zh-CN"/>
              </w:rPr>
              <w:t xml:space="preserve"> </w:t>
            </w:r>
          </w:p>
        </w:tc>
        <w:tc>
          <w:tcPr>
            <w:tcW w:w="2835" w:type="dxa"/>
          </w:tcPr>
          <w:p>
            <w:pPr>
              <w:spacing w:line="320" w:lineRule="exact"/>
              <w:jc w:val="center"/>
              <w:rPr>
                <w:rFonts w:hint="default" w:ascii="宋体" w:hAnsi="宋体" w:eastAsia="宋体"/>
                <w:sz w:val="18"/>
                <w:highlight w:val="none"/>
                <w:lang w:val="en-US" w:eastAsia="zh-CN"/>
              </w:rPr>
            </w:pPr>
            <w:r>
              <w:rPr>
                <w:rFonts w:hint="eastAsia" w:ascii="宋体" w:hAnsi="宋体"/>
                <w:sz w:val="18"/>
                <w:highlight w:val="none"/>
                <w:lang w:val="en-US" w:eastAsia="zh-CN"/>
              </w:rPr>
              <w:t>1.1</w:t>
            </w:r>
          </w:p>
        </w:tc>
        <w:tc>
          <w:tcPr>
            <w:tcW w:w="3406" w:type="dxa"/>
          </w:tcPr>
          <w:p>
            <w:pPr>
              <w:spacing w:line="320" w:lineRule="exact"/>
              <w:jc w:val="center"/>
              <w:rPr>
                <w:rFonts w:hint="default" w:ascii="宋体" w:hAnsi="宋体" w:eastAsia="宋体"/>
                <w:sz w:val="18"/>
                <w:highlight w:val="none"/>
                <w:lang w:val="en-US" w:eastAsia="zh-CN"/>
              </w:rPr>
            </w:pPr>
            <w:r>
              <w:rPr>
                <w:rFonts w:hint="eastAsia" w:ascii="宋体" w:hAnsi="宋体"/>
                <w:sz w:val="18"/>
                <w:highlight w:val="none"/>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vAlign w:val="top"/>
          </w:tcPr>
          <w:p>
            <w:pPr>
              <w:spacing w:line="320" w:lineRule="exact"/>
              <w:jc w:val="left"/>
              <w:rPr>
                <w:rFonts w:ascii="宋体" w:hAnsi="宋体" w:eastAsia="宋体" w:cs="Times New Roman"/>
                <w:kern w:val="2"/>
                <w:sz w:val="18"/>
                <w:szCs w:val="24"/>
                <w:lang w:val="en-US" w:eastAsia="zh-CN" w:bidi="ar-SA"/>
              </w:rPr>
            </w:pPr>
            <w:r>
              <w:rPr>
                <w:rFonts w:hint="eastAsia" w:ascii="宋体" w:hAnsi="宋体"/>
                <w:sz w:val="18"/>
              </w:rPr>
              <w:t>熔点，℃</w:t>
            </w:r>
          </w:p>
        </w:tc>
        <w:tc>
          <w:tcPr>
            <w:tcW w:w="2835"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70±5</w:t>
            </w:r>
          </w:p>
        </w:tc>
        <w:tc>
          <w:tcPr>
            <w:tcW w:w="3406"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60±5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vAlign w:val="top"/>
          </w:tcPr>
          <w:p>
            <w:pPr>
              <w:spacing w:line="320" w:lineRule="exact"/>
              <w:jc w:val="left"/>
              <w:rPr>
                <w:rFonts w:ascii="宋体" w:hAnsi="宋体" w:eastAsia="宋体" w:cs="Times New Roman"/>
                <w:kern w:val="2"/>
                <w:sz w:val="18"/>
                <w:szCs w:val="24"/>
                <w:lang w:val="en-US" w:eastAsia="zh-CN" w:bidi="ar-SA"/>
              </w:rPr>
            </w:pPr>
            <w:r>
              <w:rPr>
                <w:rFonts w:hint="eastAsia" w:ascii="宋体" w:hAnsi="宋体"/>
                <w:sz w:val="18"/>
              </w:rPr>
              <w:t xml:space="preserve">甲酯含量，%                  ≤     </w:t>
            </w:r>
          </w:p>
        </w:tc>
        <w:tc>
          <w:tcPr>
            <w:tcW w:w="2835"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5.0</w:t>
            </w:r>
          </w:p>
        </w:tc>
        <w:tc>
          <w:tcPr>
            <w:tcW w:w="3406"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w:t>
            </w:r>
          </w:p>
        </w:tc>
      </w:tr>
    </w:tbl>
    <w:p>
      <w:pPr>
        <w:widowControl/>
        <w:spacing w:before="156" w:beforeLines="50" w:after="156" w:afterLines="50"/>
        <w:outlineLvl w:val="1"/>
        <w:rPr>
          <w:rFonts w:ascii="黑体" w:eastAsia="黑体"/>
          <w:kern w:val="0"/>
          <w:szCs w:val="20"/>
        </w:rPr>
      </w:pPr>
      <w:r>
        <w:rPr>
          <w:rFonts w:hint="eastAsia" w:ascii="黑体" w:eastAsia="黑体"/>
          <w:kern w:val="0"/>
          <w:szCs w:val="20"/>
        </w:rPr>
        <w:t xml:space="preserve">                               </w:t>
      </w:r>
    </w:p>
    <w:p>
      <w:pPr>
        <w:widowControl/>
        <w:spacing w:before="156" w:beforeLines="50" w:after="156" w:afterLines="50"/>
        <w:jc w:val="center"/>
        <w:outlineLvl w:val="1"/>
        <w:rPr>
          <w:rFonts w:ascii="黑体" w:eastAsia="黑体"/>
          <w:kern w:val="0"/>
          <w:szCs w:val="20"/>
        </w:rPr>
      </w:pPr>
      <w:r>
        <w:rPr>
          <w:rFonts w:hint="eastAsia" w:ascii="黑体" w:eastAsia="黑体"/>
          <w:kern w:val="0"/>
          <w:szCs w:val="20"/>
        </w:rPr>
        <w:t>（续）表1 技术指标</w:t>
      </w:r>
    </w:p>
    <w:tbl>
      <w:tblPr>
        <w:tblStyle w:val="22"/>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9"/>
        <w:gridCol w:w="2835"/>
        <w:gridCol w:w="3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vAlign w:val="top"/>
          </w:tcPr>
          <w:p>
            <w:pPr>
              <w:spacing w:line="320" w:lineRule="exact"/>
              <w:jc w:val="left"/>
              <w:rPr>
                <w:rFonts w:ascii="宋体" w:hAnsi="宋体" w:eastAsia="宋体" w:cs="Times New Roman"/>
                <w:kern w:val="2"/>
                <w:sz w:val="18"/>
                <w:szCs w:val="24"/>
                <w:lang w:val="en-US" w:eastAsia="zh-CN" w:bidi="ar-SA"/>
              </w:rPr>
            </w:pPr>
            <w:r>
              <w:rPr>
                <w:rFonts w:hint="eastAsia" w:ascii="宋体" w:hAnsi="宋体"/>
                <w:sz w:val="18"/>
              </w:rPr>
              <w:t>甘油含量，%                  ≤</w:t>
            </w:r>
          </w:p>
        </w:tc>
        <w:tc>
          <w:tcPr>
            <w:tcW w:w="2835"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w:t>
            </w:r>
          </w:p>
        </w:tc>
        <w:tc>
          <w:tcPr>
            <w:tcW w:w="3406"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vAlign w:val="top"/>
          </w:tcPr>
          <w:p>
            <w:pPr>
              <w:spacing w:line="320" w:lineRule="exact"/>
              <w:jc w:val="left"/>
              <w:rPr>
                <w:rFonts w:ascii="宋体" w:hAnsi="宋体" w:eastAsia="宋体" w:cs="Times New Roman"/>
                <w:kern w:val="2"/>
                <w:sz w:val="18"/>
                <w:szCs w:val="24"/>
                <w:lang w:val="en-US" w:eastAsia="zh-CN" w:bidi="ar-SA"/>
              </w:rPr>
            </w:pPr>
            <w:r>
              <w:rPr>
                <w:rFonts w:hint="eastAsia" w:ascii="宋体" w:hAnsi="宋体"/>
                <w:sz w:val="18"/>
              </w:rPr>
              <w:t xml:space="preserve">水分及挥发物含量，%          ≤     </w:t>
            </w:r>
          </w:p>
        </w:tc>
        <w:tc>
          <w:tcPr>
            <w:tcW w:w="2835"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5.0</w:t>
            </w:r>
          </w:p>
        </w:tc>
        <w:tc>
          <w:tcPr>
            <w:tcW w:w="3406" w:type="dxa"/>
            <w:vAlign w:val="top"/>
          </w:tcPr>
          <w:p>
            <w:pPr>
              <w:spacing w:line="320" w:lineRule="exact"/>
              <w:jc w:val="center"/>
              <w:rPr>
                <w:rFonts w:ascii="宋体" w:hAnsi="宋体" w:eastAsia="宋体" w:cs="Times New Roman"/>
                <w:kern w:val="2"/>
                <w:sz w:val="18"/>
                <w:szCs w:val="24"/>
                <w:lang w:val="en-US" w:eastAsia="zh-CN" w:bidi="ar-SA"/>
              </w:rPr>
            </w:pPr>
            <w:r>
              <w:rPr>
                <w:rFonts w:hint="eastAsia" w:ascii="宋体" w:hAnsi="宋体"/>
                <w:sz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3119" w:type="dxa"/>
            <w:vAlign w:val="top"/>
          </w:tcPr>
          <w:p>
            <w:pPr>
              <w:spacing w:line="320" w:lineRule="exact"/>
              <w:jc w:val="left"/>
              <w:rPr>
                <w:rFonts w:hint="eastAsia" w:ascii="宋体" w:hAnsi="宋体" w:eastAsia="宋体" w:cs="Times New Roman"/>
                <w:kern w:val="2"/>
                <w:sz w:val="18"/>
                <w:szCs w:val="24"/>
                <w:lang w:val="en-US" w:eastAsia="zh-CN" w:bidi="ar-SA"/>
              </w:rPr>
            </w:pPr>
            <w:r>
              <w:rPr>
                <w:rFonts w:hint="eastAsia" w:ascii="宋体" w:hAnsi="宋体"/>
                <w:sz w:val="18"/>
              </w:rPr>
              <w:t>酰胺含量，%                  ≥</w:t>
            </w:r>
          </w:p>
        </w:tc>
        <w:tc>
          <w:tcPr>
            <w:tcW w:w="2835" w:type="dxa"/>
            <w:vAlign w:val="top"/>
          </w:tcPr>
          <w:p>
            <w:pPr>
              <w:spacing w:line="320" w:lineRule="exact"/>
              <w:jc w:val="center"/>
              <w:rPr>
                <w:rFonts w:hint="eastAsia" w:ascii="宋体" w:hAnsi="宋体" w:eastAsia="宋体" w:cs="Times New Roman"/>
                <w:kern w:val="2"/>
                <w:sz w:val="18"/>
                <w:szCs w:val="24"/>
                <w:lang w:val="en-US" w:eastAsia="zh-CN" w:bidi="ar-SA"/>
              </w:rPr>
            </w:pPr>
            <w:r>
              <w:rPr>
                <w:rFonts w:hint="eastAsia" w:ascii="宋体" w:hAnsi="宋体"/>
                <w:sz w:val="18"/>
              </w:rPr>
              <w:t>92.0</w:t>
            </w:r>
          </w:p>
        </w:tc>
        <w:tc>
          <w:tcPr>
            <w:tcW w:w="3406" w:type="dxa"/>
            <w:vAlign w:val="top"/>
          </w:tcPr>
          <w:p>
            <w:pPr>
              <w:spacing w:line="320" w:lineRule="exact"/>
              <w:jc w:val="center"/>
              <w:rPr>
                <w:rFonts w:hint="default" w:ascii="宋体" w:hAnsi="宋体" w:eastAsia="宋体" w:cs="Times New Roman"/>
                <w:kern w:val="2"/>
                <w:sz w:val="18"/>
                <w:szCs w:val="24"/>
                <w:lang w:val="en-US" w:eastAsia="zh-CN" w:bidi="ar-SA"/>
              </w:rPr>
            </w:pPr>
            <w:r>
              <w:rPr>
                <w:rFonts w:hint="eastAsia" w:ascii="宋体" w:hAnsi="宋体" w:cs="Times New Roman"/>
                <w:kern w:val="2"/>
                <w:sz w:val="18"/>
                <w:szCs w:val="24"/>
                <w:lang w:val="en-US" w:eastAsia="zh-CN" w:bidi="ar-SA"/>
              </w:rPr>
              <w:t>78.0</w:t>
            </w:r>
          </w:p>
        </w:tc>
      </w:tr>
    </w:tbl>
    <w:p>
      <w:pPr>
        <w:widowControl/>
        <w:spacing w:before="156" w:beforeLines="50" w:after="156" w:afterLines="50"/>
        <w:outlineLvl w:val="1"/>
        <w:rPr>
          <w:rFonts w:ascii="黑体" w:eastAsia="黑体"/>
          <w:kern w:val="0"/>
          <w:szCs w:val="20"/>
        </w:rPr>
      </w:pPr>
      <w:r>
        <w:rPr>
          <w:rFonts w:hint="eastAsia" w:ascii="黑体" w:eastAsia="黑体"/>
          <w:kern w:val="0"/>
          <w:szCs w:val="20"/>
        </w:rPr>
        <w:t>5  试验方法</w:t>
      </w:r>
    </w:p>
    <w:p>
      <w:pPr>
        <w:ind w:firstLine="420"/>
        <w:rPr>
          <w:rFonts w:ascii="宋体" w:hAnsi="宋体"/>
          <w:bCs/>
        </w:rPr>
      </w:pPr>
      <w:r>
        <w:rPr>
          <w:rFonts w:hint="eastAsia"/>
        </w:rPr>
        <w:t>本标准所用试剂和水，在没有注明其他要求时，均指分析纯试剂和GB/T 6682中规定的三级水。</w:t>
      </w:r>
    </w:p>
    <w:p>
      <w:pPr>
        <w:widowControl/>
        <w:numPr>
          <w:ilvl w:val="2"/>
          <w:numId w:val="0"/>
        </w:numPr>
        <w:jc w:val="left"/>
        <w:outlineLvl w:val="2"/>
        <w:rPr>
          <w:rFonts w:eastAsia="黑体"/>
          <w:kern w:val="0"/>
          <w:szCs w:val="20"/>
        </w:rPr>
      </w:pPr>
      <w:r>
        <w:rPr>
          <w:rFonts w:hint="eastAsia" w:eastAsia="黑体"/>
          <w:kern w:val="0"/>
          <w:szCs w:val="20"/>
        </w:rPr>
        <w:t>5.1  外观</w:t>
      </w:r>
    </w:p>
    <w:p>
      <w:pPr>
        <w:spacing w:line="320" w:lineRule="exact"/>
        <w:ind w:firstLine="420" w:firstLineChars="200"/>
        <w:rPr>
          <w:rFonts w:ascii="宋体" w:hAnsi="宋体"/>
          <w:bCs/>
        </w:rPr>
      </w:pPr>
      <w:r>
        <w:rPr>
          <w:rFonts w:hint="eastAsia" w:ascii="宋体" w:hAnsi="宋体"/>
          <w:bCs/>
        </w:rPr>
        <w:t>在</w:t>
      </w:r>
      <w:r>
        <w:rPr>
          <w:rFonts w:hint="eastAsia" w:ascii="宋体" w:hAnsi="宋体"/>
        </w:rPr>
        <w:t>25℃</w:t>
      </w:r>
      <w:r>
        <w:rPr>
          <w:rFonts w:hint="eastAsia" w:ascii="宋体" w:hAnsi="宋体"/>
          <w:bCs/>
        </w:rPr>
        <w:t>自然光下目测样品的颜色与状态。</w:t>
      </w:r>
    </w:p>
    <w:p>
      <w:pPr>
        <w:widowControl/>
        <w:numPr>
          <w:ilvl w:val="2"/>
          <w:numId w:val="0"/>
        </w:numPr>
        <w:jc w:val="left"/>
        <w:outlineLvl w:val="2"/>
        <w:rPr>
          <w:rFonts w:eastAsia="黑体"/>
          <w:kern w:val="0"/>
          <w:szCs w:val="20"/>
        </w:rPr>
      </w:pPr>
      <w:r>
        <w:rPr>
          <w:rFonts w:hint="eastAsia" w:eastAsia="黑体"/>
          <w:kern w:val="0"/>
          <w:szCs w:val="20"/>
        </w:rPr>
        <w:t>5.2  气味</w:t>
      </w:r>
    </w:p>
    <w:p>
      <w:pPr>
        <w:spacing w:line="320" w:lineRule="exact"/>
        <w:rPr>
          <w:rFonts w:ascii="宋体" w:hAnsi="宋体"/>
          <w:bCs/>
        </w:rPr>
      </w:pPr>
      <w:r>
        <w:rPr>
          <w:rFonts w:hint="eastAsia" w:ascii="黑体" w:hAnsi="宋体" w:eastAsia="黑体"/>
          <w:bCs/>
        </w:rPr>
        <w:t xml:space="preserve">    </w:t>
      </w:r>
      <w:r>
        <w:rPr>
          <w:rFonts w:hint="eastAsia" w:ascii="宋体" w:hAnsi="宋体"/>
          <w:bCs/>
        </w:rPr>
        <w:t>凭嗅觉鉴别。</w:t>
      </w:r>
    </w:p>
    <w:p>
      <w:pPr>
        <w:widowControl/>
        <w:numPr>
          <w:ilvl w:val="2"/>
          <w:numId w:val="0"/>
        </w:numPr>
        <w:jc w:val="left"/>
        <w:outlineLvl w:val="2"/>
        <w:rPr>
          <w:rFonts w:eastAsia="黑体"/>
          <w:kern w:val="0"/>
          <w:szCs w:val="20"/>
        </w:rPr>
      </w:pPr>
      <w:r>
        <w:rPr>
          <w:rFonts w:hint="eastAsia" w:eastAsia="黑体"/>
          <w:kern w:val="0"/>
          <w:szCs w:val="20"/>
        </w:rPr>
        <w:t>5.3  pH值的测定</w:t>
      </w:r>
    </w:p>
    <w:p>
      <w:pPr>
        <w:widowControl/>
        <w:numPr>
          <w:ilvl w:val="2"/>
          <w:numId w:val="0"/>
        </w:numPr>
        <w:jc w:val="left"/>
        <w:outlineLvl w:val="2"/>
        <w:rPr>
          <w:rFonts w:eastAsia="黑体"/>
          <w:kern w:val="0"/>
          <w:szCs w:val="20"/>
        </w:rPr>
      </w:pPr>
      <w:r>
        <w:rPr>
          <w:rFonts w:hint="eastAsia" w:eastAsia="黑体"/>
          <w:kern w:val="0"/>
          <w:szCs w:val="20"/>
        </w:rPr>
        <w:t>5.3.1 试剂</w:t>
      </w:r>
    </w:p>
    <w:p>
      <w:pPr>
        <w:widowControl/>
        <w:numPr>
          <w:ilvl w:val="2"/>
          <w:numId w:val="0"/>
        </w:numPr>
        <w:jc w:val="left"/>
        <w:outlineLvl w:val="2"/>
        <w:rPr>
          <w:rFonts w:ascii="宋体" w:hAnsi="宋体"/>
          <w:kern w:val="0"/>
          <w:szCs w:val="20"/>
        </w:rPr>
      </w:pPr>
      <w:r>
        <w:rPr>
          <w:rFonts w:hint="eastAsia" w:eastAsia="黑体"/>
          <w:kern w:val="0"/>
          <w:szCs w:val="20"/>
        </w:rPr>
        <w:t xml:space="preserve">   </w:t>
      </w:r>
      <w:r>
        <w:rPr>
          <w:rFonts w:hint="eastAsia" w:ascii="宋体" w:hAnsi="宋体"/>
          <w:kern w:val="0"/>
          <w:szCs w:val="20"/>
        </w:rPr>
        <w:t>a) 95%乙醇，AR；</w:t>
      </w:r>
    </w:p>
    <w:p>
      <w:pPr>
        <w:widowControl/>
        <w:numPr>
          <w:ilvl w:val="2"/>
          <w:numId w:val="0"/>
        </w:numPr>
        <w:jc w:val="left"/>
        <w:outlineLvl w:val="2"/>
        <w:rPr>
          <w:rFonts w:ascii="宋体" w:hAnsi="宋体"/>
          <w:kern w:val="0"/>
          <w:szCs w:val="20"/>
        </w:rPr>
      </w:pPr>
      <w:r>
        <w:rPr>
          <w:rFonts w:hint="eastAsia" w:ascii="宋体" w:hAnsi="宋体"/>
          <w:kern w:val="0"/>
          <w:szCs w:val="20"/>
        </w:rPr>
        <w:t xml:space="preserve">   b) 10%（V/V）乙醇溶液：量取1</w:t>
      </w:r>
      <w:r>
        <w:rPr>
          <w:rFonts w:hint="eastAsia" w:ascii="宋体" w:hAnsi="宋体"/>
          <w:color w:val="auto"/>
          <w:kern w:val="0"/>
          <w:szCs w:val="20"/>
        </w:rPr>
        <w:t>0m</w:t>
      </w:r>
      <w:r>
        <w:rPr>
          <w:rFonts w:hint="eastAsia" w:ascii="宋体" w:hAnsi="宋体"/>
          <w:color w:val="auto"/>
          <w:kern w:val="0"/>
          <w:szCs w:val="20"/>
          <w:lang w:val="en-US" w:eastAsia="zh-CN"/>
        </w:rPr>
        <w:t>L</w:t>
      </w:r>
      <w:r>
        <w:rPr>
          <w:rFonts w:hint="eastAsia" w:ascii="宋体" w:hAnsi="宋体"/>
          <w:color w:val="auto"/>
          <w:kern w:val="0"/>
          <w:szCs w:val="20"/>
        </w:rPr>
        <w:t>乙醇加入到90m</w:t>
      </w:r>
      <w:r>
        <w:rPr>
          <w:rFonts w:hint="eastAsia" w:ascii="宋体" w:hAnsi="宋体"/>
          <w:color w:val="auto"/>
          <w:kern w:val="0"/>
          <w:szCs w:val="20"/>
          <w:lang w:val="en-US" w:eastAsia="zh-CN"/>
        </w:rPr>
        <w:t>L</w:t>
      </w:r>
      <w:r>
        <w:rPr>
          <w:rFonts w:hint="eastAsia" w:ascii="宋体" w:hAnsi="宋体"/>
          <w:color w:val="auto"/>
          <w:kern w:val="0"/>
          <w:szCs w:val="20"/>
        </w:rPr>
        <w:t>的</w:t>
      </w:r>
      <w:r>
        <w:rPr>
          <w:rFonts w:hint="eastAsia" w:ascii="宋体" w:hAnsi="宋体"/>
          <w:kern w:val="0"/>
          <w:szCs w:val="20"/>
        </w:rPr>
        <w:t>蒸馏水中，</w:t>
      </w:r>
      <w:r>
        <w:rPr>
          <w:rFonts w:hint="eastAsia" w:ascii="宋体" w:hAnsi="宋体"/>
          <w:kern w:val="0"/>
          <w:szCs w:val="20"/>
          <w:lang w:eastAsia="zh-CN"/>
        </w:rPr>
        <w:t>混匀</w:t>
      </w:r>
      <w:r>
        <w:rPr>
          <w:rFonts w:hint="eastAsia" w:ascii="宋体" w:hAnsi="宋体"/>
          <w:kern w:val="0"/>
          <w:szCs w:val="20"/>
        </w:rPr>
        <w:t>。</w:t>
      </w:r>
    </w:p>
    <w:p>
      <w:pPr>
        <w:widowControl/>
        <w:numPr>
          <w:ilvl w:val="2"/>
          <w:numId w:val="0"/>
        </w:numPr>
        <w:jc w:val="left"/>
        <w:outlineLvl w:val="2"/>
        <w:rPr>
          <w:rFonts w:ascii="宋体" w:hAnsi="宋体"/>
          <w:b/>
          <w:bCs/>
          <w:kern w:val="0"/>
          <w:szCs w:val="20"/>
        </w:rPr>
      </w:pPr>
      <w:r>
        <w:rPr>
          <w:rFonts w:hint="eastAsia" w:ascii="宋体" w:hAnsi="宋体"/>
          <w:b/>
          <w:bCs/>
          <w:kern w:val="0"/>
          <w:szCs w:val="20"/>
        </w:rPr>
        <w:t>5.3.2 仪器</w:t>
      </w:r>
    </w:p>
    <w:p>
      <w:pPr>
        <w:widowControl/>
        <w:numPr>
          <w:ilvl w:val="2"/>
          <w:numId w:val="0"/>
        </w:numPr>
        <w:ind w:firstLine="420"/>
        <w:jc w:val="left"/>
        <w:outlineLvl w:val="2"/>
        <w:rPr>
          <w:rFonts w:ascii="宋体" w:hAnsi="宋体"/>
          <w:kern w:val="0"/>
          <w:szCs w:val="20"/>
        </w:rPr>
      </w:pPr>
      <w:r>
        <w:rPr>
          <w:rFonts w:hint="eastAsia" w:ascii="宋体" w:hAnsi="宋体"/>
          <w:kern w:val="0"/>
          <w:szCs w:val="20"/>
        </w:rPr>
        <w:t>a) 精密</w:t>
      </w:r>
      <w:r>
        <w:rPr>
          <w:rFonts w:hint="eastAsia" w:ascii="宋体" w:hAnsi="宋体"/>
          <w:color w:val="auto"/>
          <w:kern w:val="0"/>
          <w:szCs w:val="20"/>
          <w:lang w:val="en-US" w:eastAsia="zh-CN"/>
        </w:rPr>
        <w:t>p</w:t>
      </w:r>
      <w:r>
        <w:rPr>
          <w:rFonts w:hint="eastAsia" w:ascii="宋体" w:hAnsi="宋体"/>
          <w:color w:val="auto"/>
          <w:kern w:val="0"/>
          <w:szCs w:val="20"/>
        </w:rPr>
        <w:t>H计，精度0.01</w:t>
      </w:r>
      <w:r>
        <w:rPr>
          <w:rFonts w:hint="eastAsia" w:ascii="宋体" w:hAnsi="宋体"/>
          <w:color w:val="auto"/>
          <w:kern w:val="0"/>
          <w:szCs w:val="20"/>
          <w:lang w:val="en-US" w:eastAsia="zh-CN"/>
        </w:rPr>
        <w:t>p</w:t>
      </w:r>
      <w:r>
        <w:rPr>
          <w:rFonts w:hint="eastAsia" w:ascii="宋体" w:hAnsi="宋体"/>
          <w:color w:val="auto"/>
          <w:kern w:val="0"/>
          <w:szCs w:val="20"/>
        </w:rPr>
        <w:t>H；</w:t>
      </w:r>
    </w:p>
    <w:p>
      <w:pPr>
        <w:widowControl/>
        <w:numPr>
          <w:ilvl w:val="2"/>
          <w:numId w:val="0"/>
        </w:numPr>
        <w:ind w:firstLine="420"/>
        <w:jc w:val="left"/>
        <w:outlineLvl w:val="2"/>
        <w:rPr>
          <w:rFonts w:ascii="宋体" w:hAnsi="宋体"/>
          <w:kern w:val="0"/>
          <w:szCs w:val="20"/>
        </w:rPr>
      </w:pPr>
      <w:r>
        <w:rPr>
          <w:rFonts w:hint="eastAsia" w:ascii="宋体" w:hAnsi="宋体"/>
          <w:kern w:val="0"/>
          <w:szCs w:val="20"/>
        </w:rPr>
        <w:t>b) 复合电极；</w:t>
      </w:r>
    </w:p>
    <w:p>
      <w:pPr>
        <w:widowControl/>
        <w:numPr>
          <w:ilvl w:val="2"/>
          <w:numId w:val="0"/>
        </w:numPr>
        <w:ind w:firstLine="420"/>
        <w:jc w:val="left"/>
        <w:outlineLvl w:val="2"/>
        <w:rPr>
          <w:rFonts w:ascii="宋体" w:hAnsi="宋体"/>
          <w:kern w:val="0"/>
          <w:szCs w:val="20"/>
        </w:rPr>
      </w:pPr>
      <w:r>
        <w:rPr>
          <w:rFonts w:hint="eastAsia" w:ascii="宋体" w:hAnsi="宋体"/>
          <w:kern w:val="0"/>
          <w:szCs w:val="20"/>
        </w:rPr>
        <w:t>c) 电热板；</w:t>
      </w:r>
    </w:p>
    <w:p>
      <w:pPr>
        <w:widowControl/>
        <w:numPr>
          <w:ilvl w:val="2"/>
          <w:numId w:val="0"/>
        </w:numPr>
        <w:ind w:firstLine="420"/>
        <w:jc w:val="left"/>
        <w:outlineLvl w:val="2"/>
        <w:rPr>
          <w:rFonts w:ascii="宋体" w:hAnsi="宋体"/>
          <w:kern w:val="0"/>
          <w:szCs w:val="20"/>
        </w:rPr>
      </w:pPr>
      <w:r>
        <w:rPr>
          <w:rFonts w:hint="eastAsia" w:ascii="宋体" w:hAnsi="宋体"/>
          <w:kern w:val="0"/>
          <w:szCs w:val="20"/>
        </w:rPr>
        <w:t>d) 电子天平，精度0.01g；</w:t>
      </w:r>
    </w:p>
    <w:p>
      <w:pPr>
        <w:widowControl/>
        <w:numPr>
          <w:ilvl w:val="2"/>
          <w:numId w:val="0"/>
        </w:numPr>
        <w:ind w:firstLine="420"/>
        <w:jc w:val="left"/>
        <w:outlineLvl w:val="2"/>
        <w:rPr>
          <w:rFonts w:ascii="宋体" w:hAnsi="宋体"/>
          <w:kern w:val="0"/>
          <w:szCs w:val="20"/>
        </w:rPr>
      </w:pPr>
      <w:r>
        <w:rPr>
          <w:rFonts w:hint="eastAsia" w:ascii="宋体" w:hAnsi="宋体"/>
          <w:kern w:val="0"/>
          <w:szCs w:val="20"/>
        </w:rPr>
        <w:t>e) 烧杯等常规玻璃器皿。</w:t>
      </w:r>
    </w:p>
    <w:p>
      <w:pPr>
        <w:widowControl/>
        <w:numPr>
          <w:ilvl w:val="2"/>
          <w:numId w:val="0"/>
        </w:numPr>
        <w:jc w:val="left"/>
        <w:outlineLvl w:val="2"/>
        <w:rPr>
          <w:rFonts w:ascii="宋体" w:hAnsi="宋体"/>
          <w:b/>
          <w:bCs/>
          <w:kern w:val="0"/>
          <w:szCs w:val="20"/>
        </w:rPr>
      </w:pPr>
      <w:r>
        <w:rPr>
          <w:rFonts w:hint="eastAsia" w:ascii="宋体" w:hAnsi="宋体"/>
          <w:b/>
          <w:bCs/>
          <w:kern w:val="0"/>
          <w:szCs w:val="20"/>
        </w:rPr>
        <w:t>5.3.3 检测方法</w:t>
      </w:r>
    </w:p>
    <w:p>
      <w:pPr>
        <w:spacing w:line="320" w:lineRule="exact"/>
        <w:ind w:firstLine="420" w:firstLineChars="200"/>
        <w:rPr>
          <w:rFonts w:ascii="宋体" w:hAnsi="宋体"/>
          <w:bCs/>
        </w:rPr>
      </w:pPr>
      <w:r>
        <w:rPr>
          <w:rFonts w:hint="eastAsia" w:ascii="宋体" w:hAnsi="宋体"/>
          <w:bCs/>
          <w:lang w:eastAsia="zh-CN"/>
        </w:rPr>
        <w:t>称</w:t>
      </w:r>
      <w:r>
        <w:rPr>
          <w:rFonts w:hint="eastAsia" w:ascii="宋体" w:hAnsi="宋体"/>
          <w:bCs/>
        </w:rPr>
        <w:t>取1.0g样品于150m</w:t>
      </w:r>
      <w:r>
        <w:rPr>
          <w:rFonts w:hint="eastAsia" w:ascii="宋体" w:hAnsi="宋体"/>
          <w:bCs/>
          <w:lang w:val="en-US" w:eastAsia="zh-CN"/>
        </w:rPr>
        <w:t>L</w:t>
      </w:r>
      <w:r>
        <w:rPr>
          <w:rFonts w:hint="eastAsia" w:ascii="宋体" w:hAnsi="宋体"/>
          <w:bCs/>
        </w:rPr>
        <w:t>的烧杯中，加入100m</w:t>
      </w:r>
      <w:r>
        <w:rPr>
          <w:rFonts w:hint="eastAsia" w:ascii="宋体" w:hAnsi="宋体"/>
          <w:bCs/>
          <w:lang w:val="en-US" w:eastAsia="zh-CN"/>
        </w:rPr>
        <w:t>L</w:t>
      </w:r>
      <w:r>
        <w:rPr>
          <w:rFonts w:hint="eastAsia" w:ascii="宋体" w:hAnsi="宋体"/>
          <w:bCs/>
        </w:rPr>
        <w:t>10%的乙醇溶液，置于电热板上，边加热边搅拌至样品溶解，取出冷却至室温，按GB/T 6368规定方法测定其pH值。</w:t>
      </w:r>
    </w:p>
    <w:p>
      <w:pPr>
        <w:spacing w:line="320" w:lineRule="exact"/>
        <w:rPr>
          <w:rFonts w:ascii="宋体" w:hAnsi="宋体"/>
          <w:bCs/>
        </w:rPr>
      </w:pPr>
      <w:r>
        <w:rPr>
          <w:rFonts w:hint="eastAsia" w:ascii="宋体" w:hAnsi="宋体"/>
          <w:bCs/>
        </w:rPr>
        <w:t>5.3.4允许误差</w:t>
      </w:r>
    </w:p>
    <w:p>
      <w:pPr>
        <w:spacing w:line="320" w:lineRule="exact"/>
        <w:ind w:firstLine="420" w:firstLineChars="200"/>
        <w:rPr>
          <w:rFonts w:ascii="宋体" w:hAnsi="宋体"/>
          <w:bCs/>
        </w:rPr>
      </w:pPr>
      <w:r>
        <w:rPr>
          <w:rFonts w:hint="eastAsia" w:ascii="宋体" w:hAnsi="宋体"/>
          <w:bCs/>
        </w:rPr>
        <w:t>两次平行测定结果之绝对误差不应超过0.3</w:t>
      </w:r>
      <w:r>
        <w:rPr>
          <w:rFonts w:hint="eastAsia" w:ascii="宋体" w:hAnsi="宋体"/>
          <w:bCs/>
          <w:color w:val="auto"/>
          <w:lang w:val="en-US" w:eastAsia="zh-CN"/>
        </w:rPr>
        <w:t>p</w:t>
      </w:r>
      <w:r>
        <w:rPr>
          <w:rFonts w:hint="eastAsia" w:ascii="宋体" w:hAnsi="宋体"/>
          <w:bCs/>
          <w:color w:val="auto"/>
        </w:rPr>
        <w:t>H。</w:t>
      </w:r>
      <w:bookmarkStart w:id="23" w:name="_GoBack"/>
      <w:bookmarkEnd w:id="23"/>
    </w:p>
    <w:p>
      <w:pPr>
        <w:spacing w:line="320" w:lineRule="exact"/>
        <w:rPr>
          <w:rFonts w:ascii="黑体" w:hAnsi="黑体" w:eastAsia="黑体"/>
          <w:bCs/>
        </w:rPr>
      </w:pPr>
      <w:r>
        <w:rPr>
          <w:rFonts w:hint="eastAsia" w:ascii="黑体" w:hAnsi="黑体" w:eastAsia="黑体"/>
          <w:bCs/>
        </w:rPr>
        <w:t>5.4 色泽的测定</w:t>
      </w:r>
    </w:p>
    <w:p>
      <w:pPr>
        <w:spacing w:line="320" w:lineRule="exact"/>
        <w:ind w:firstLine="420"/>
        <w:rPr>
          <w:rFonts w:ascii="宋体" w:hAnsi="宋体"/>
          <w:bCs/>
        </w:rPr>
      </w:pPr>
      <w:r>
        <w:rPr>
          <w:rFonts w:hint="eastAsia" w:ascii="宋体" w:hAnsi="宋体"/>
          <w:bCs/>
        </w:rPr>
        <w:t>将样品配置成10%的乙醇溶液，加热溶解，趁热按GB/T 3143规定的方法进行测试。</w:t>
      </w:r>
    </w:p>
    <w:p>
      <w:pPr>
        <w:widowControl/>
        <w:numPr>
          <w:ilvl w:val="3"/>
          <w:numId w:val="0"/>
        </w:numPr>
        <w:jc w:val="left"/>
        <w:outlineLvl w:val="3"/>
        <w:rPr>
          <w:rFonts w:hint="eastAsia" w:eastAsia="黑体"/>
          <w:kern w:val="0"/>
          <w:szCs w:val="20"/>
        </w:rPr>
      </w:pPr>
      <w:r>
        <w:rPr>
          <w:rFonts w:hint="eastAsia" w:eastAsia="黑体"/>
          <w:kern w:val="0"/>
          <w:szCs w:val="20"/>
        </w:rPr>
        <w:t xml:space="preserve">5.5  </w:t>
      </w:r>
      <w:r>
        <w:rPr>
          <w:rFonts w:hint="eastAsia" w:eastAsia="黑体"/>
          <w:kern w:val="0"/>
          <w:szCs w:val="20"/>
          <w:lang w:eastAsia="zh-CN"/>
        </w:rPr>
        <w:t>残余胺</w:t>
      </w:r>
      <w:r>
        <w:rPr>
          <w:rFonts w:hint="eastAsia" w:eastAsia="黑体"/>
          <w:kern w:val="0"/>
          <w:szCs w:val="20"/>
        </w:rPr>
        <w:t>的测定</w:t>
      </w:r>
    </w:p>
    <w:p>
      <w:pPr>
        <w:widowControl/>
        <w:numPr>
          <w:ilvl w:val="3"/>
          <w:numId w:val="0"/>
        </w:numPr>
        <w:jc w:val="left"/>
        <w:outlineLvl w:val="3"/>
        <w:rPr>
          <w:rFonts w:eastAsia="黑体"/>
          <w:color w:val="000000" w:themeColor="text1"/>
          <w:kern w:val="0"/>
          <w:szCs w:val="20"/>
          <w14:textFill>
            <w14:solidFill>
              <w14:schemeClr w14:val="tx1"/>
            </w14:solidFill>
          </w14:textFill>
        </w:rPr>
      </w:pPr>
      <w:r>
        <w:rPr>
          <w:rFonts w:hint="eastAsia" w:eastAsia="黑体"/>
          <w:color w:val="000000" w:themeColor="text1"/>
          <w:kern w:val="0"/>
          <w:szCs w:val="20"/>
          <w14:textFill>
            <w14:solidFill>
              <w14:schemeClr w14:val="tx1"/>
            </w14:solidFill>
          </w14:textFill>
        </w:rPr>
        <w:t>5.5.1 方法提要</w:t>
      </w:r>
    </w:p>
    <w:p>
      <w:pPr>
        <w:widowControl/>
        <w:autoSpaceDE w:val="0"/>
        <w:autoSpaceDN w:val="0"/>
        <w:ind w:firstLine="420" w:firstLineChars="200"/>
        <w:rPr>
          <w:rFonts w:eastAsia="黑体"/>
          <w:kern w:val="0"/>
          <w:szCs w:val="20"/>
        </w:rPr>
      </w:pPr>
      <w:r>
        <w:rPr>
          <w:rFonts w:hint="eastAsia" w:ascii="宋体" w:hAnsi="宋体"/>
          <w:bCs/>
          <w:color w:val="000000" w:themeColor="text1"/>
          <w:kern w:val="0"/>
          <w:szCs w:val="20"/>
          <w14:textFill>
            <w14:solidFill>
              <w14:schemeClr w14:val="tx1"/>
            </w14:solidFill>
          </w14:textFill>
        </w:rPr>
        <w:t>以溴酚蓝为指示剂，滴定1g样品中的胺所消耗的盐酸相当于氢氧化钾的毫克数（mgKOH/g</w:t>
      </w:r>
      <w:r>
        <w:rPr>
          <w:rFonts w:ascii="宋体" w:hAnsi="宋体"/>
          <w:bCs/>
          <w:color w:val="000000" w:themeColor="text1"/>
          <w:kern w:val="0"/>
          <w:szCs w:val="20"/>
          <w14:textFill>
            <w14:solidFill>
              <w14:schemeClr w14:val="tx1"/>
            </w14:solidFill>
          </w14:textFill>
        </w:rPr>
        <w:t>）</w:t>
      </w:r>
      <w:r>
        <w:rPr>
          <w:rFonts w:hint="eastAsia" w:ascii="宋体" w:hAnsi="宋体"/>
          <w:bCs/>
          <w:color w:val="000000" w:themeColor="text1"/>
          <w:kern w:val="0"/>
          <w:szCs w:val="20"/>
          <w14:textFill>
            <w14:solidFill>
              <w14:schemeClr w14:val="tx1"/>
            </w14:solidFill>
          </w14:textFill>
        </w:rPr>
        <w:t>，称为胺值。</w:t>
      </w:r>
    </w:p>
    <w:p>
      <w:pPr>
        <w:widowControl/>
        <w:autoSpaceDE w:val="0"/>
        <w:autoSpaceDN w:val="0"/>
        <w:rPr>
          <w:rFonts w:hint="eastAsia" w:ascii="宋体" w:eastAsia="宋体"/>
          <w:kern w:val="0"/>
          <w:szCs w:val="20"/>
          <w:lang w:val="en-US" w:eastAsia="zh-CN"/>
        </w:rPr>
      </w:pPr>
      <w:r>
        <w:rPr>
          <w:rFonts w:hint="eastAsia" w:ascii="宋体"/>
          <w:kern w:val="0"/>
          <w:szCs w:val="20"/>
        </w:rPr>
        <w:t>5.5.2 试剂</w:t>
      </w:r>
      <w:r>
        <w:rPr>
          <w:rFonts w:hint="eastAsia" w:ascii="宋体"/>
          <w:kern w:val="0"/>
          <w:szCs w:val="20"/>
          <w:lang w:eastAsia="zh-CN"/>
        </w:rPr>
        <w:t>与仪器</w:t>
      </w:r>
    </w:p>
    <w:p>
      <w:pPr>
        <w:numPr>
          <w:ilvl w:val="0"/>
          <w:numId w:val="18"/>
        </w:numPr>
        <w:spacing w:line="320" w:lineRule="exact"/>
        <w:rPr>
          <w:rFonts w:ascii="宋体" w:hAnsi="宋体"/>
        </w:rPr>
      </w:pPr>
      <w:r>
        <w:rPr>
          <w:rFonts w:hint="eastAsia" w:ascii="宋体" w:hAnsi="宋体"/>
        </w:rPr>
        <w:t>盐酸标准溶液：</w:t>
      </w:r>
      <w:r>
        <w:rPr>
          <w:rFonts w:hint="eastAsia"/>
          <w:i/>
          <w:iCs/>
        </w:rPr>
        <w:t>C</w:t>
      </w:r>
      <w:r>
        <w:rPr>
          <w:rFonts w:hint="eastAsia" w:ascii="宋体" w:hAnsi="宋体"/>
        </w:rPr>
        <w:t>=0</w:t>
      </w:r>
      <w:r>
        <w:rPr>
          <w:rFonts w:ascii="宋体" w:hAnsi="宋体"/>
        </w:rPr>
        <w:t>.1mol</w:t>
      </w:r>
      <w:r>
        <w:rPr>
          <w:rFonts w:hint="eastAsia" w:ascii="宋体" w:hAnsi="宋体"/>
        </w:rPr>
        <w:t>/</w:t>
      </w:r>
      <w:r>
        <w:rPr>
          <w:rFonts w:ascii="宋体" w:hAnsi="宋体"/>
        </w:rPr>
        <w:t>L</w:t>
      </w:r>
      <w:r>
        <w:rPr>
          <w:rFonts w:hint="eastAsia" w:ascii="宋体" w:hAnsi="宋体"/>
        </w:rPr>
        <w:t>；</w:t>
      </w:r>
    </w:p>
    <w:p>
      <w:pPr>
        <w:numPr>
          <w:ilvl w:val="0"/>
          <w:numId w:val="18"/>
        </w:numPr>
        <w:spacing w:line="320" w:lineRule="exact"/>
        <w:rPr>
          <w:rFonts w:ascii="宋体" w:hAnsi="宋体"/>
        </w:rPr>
      </w:pPr>
      <w:r>
        <w:rPr>
          <w:rFonts w:hint="eastAsia" w:ascii="宋体" w:hAnsi="宋体"/>
        </w:rPr>
        <w:t>中性乙醇：用碱溶液中和95%的乙醇至对溴酚蓝呈中性；</w:t>
      </w:r>
    </w:p>
    <w:p>
      <w:pPr>
        <w:numPr>
          <w:ilvl w:val="0"/>
          <w:numId w:val="18"/>
        </w:numPr>
        <w:spacing w:line="320" w:lineRule="exact"/>
        <w:rPr>
          <w:rFonts w:ascii="宋体" w:hAnsi="宋体"/>
        </w:rPr>
      </w:pPr>
      <w:r>
        <w:rPr>
          <w:rFonts w:hint="eastAsia" w:ascii="宋体" w:hAnsi="宋体"/>
        </w:rPr>
        <w:t>溴酚蓝指示剂：10</w:t>
      </w:r>
      <w:r>
        <w:rPr>
          <w:rFonts w:ascii="宋体" w:hAnsi="宋体"/>
        </w:rPr>
        <w:t>g</w:t>
      </w:r>
      <w:r>
        <w:rPr>
          <w:rFonts w:hint="eastAsia" w:ascii="宋体" w:hAnsi="宋体"/>
        </w:rPr>
        <w:t>/L</w:t>
      </w:r>
      <w:r>
        <w:rPr>
          <w:rFonts w:hint="eastAsia" w:ascii="宋体" w:hAnsi="宋体"/>
          <w:lang w:eastAsia="zh-CN"/>
        </w:rPr>
        <w:t>，</w:t>
      </w:r>
      <w:r>
        <w:rPr>
          <w:rFonts w:hint="eastAsia" w:ascii="宋体" w:hAnsi="宋体"/>
        </w:rPr>
        <w:t>95%乙醇溶液</w:t>
      </w:r>
      <w:r>
        <w:rPr>
          <w:rFonts w:hint="eastAsia" w:ascii="宋体" w:hAnsi="宋体"/>
          <w:lang w:eastAsia="zh-CN"/>
        </w:rPr>
        <w:t>；</w:t>
      </w:r>
    </w:p>
    <w:p>
      <w:pPr>
        <w:numPr>
          <w:ilvl w:val="0"/>
          <w:numId w:val="18"/>
        </w:numPr>
        <w:spacing w:line="320" w:lineRule="exact"/>
        <w:rPr>
          <w:rFonts w:ascii="宋体" w:hAnsi="宋体"/>
        </w:rPr>
      </w:pPr>
      <w:r>
        <w:rPr>
          <w:rFonts w:hint="eastAsia" w:ascii="宋体" w:hAnsi="宋体"/>
          <w:lang w:eastAsia="zh-CN"/>
        </w:rPr>
        <w:t>酸式滴定管：</w:t>
      </w:r>
      <w:r>
        <w:rPr>
          <w:rFonts w:hint="eastAsia" w:ascii="宋体" w:hAnsi="宋体"/>
          <w:lang w:val="en-US" w:eastAsia="zh-CN"/>
        </w:rPr>
        <w:t>25mL；</w:t>
      </w:r>
    </w:p>
    <w:p>
      <w:pPr>
        <w:numPr>
          <w:ilvl w:val="0"/>
          <w:numId w:val="18"/>
        </w:numPr>
        <w:spacing w:line="320" w:lineRule="exact"/>
        <w:rPr>
          <w:rFonts w:ascii="宋体" w:hAnsi="宋体"/>
        </w:rPr>
      </w:pPr>
      <w:r>
        <w:rPr>
          <w:rFonts w:hint="eastAsia" w:ascii="宋体" w:hAnsi="宋体"/>
          <w:lang w:val="en-US" w:eastAsia="zh-CN"/>
        </w:rPr>
        <w:t>电子分析天平：精度0.1mg；</w:t>
      </w:r>
    </w:p>
    <w:p>
      <w:pPr>
        <w:numPr>
          <w:ilvl w:val="0"/>
          <w:numId w:val="18"/>
        </w:numPr>
        <w:spacing w:line="320" w:lineRule="exact"/>
        <w:rPr>
          <w:rFonts w:ascii="宋体" w:hAnsi="宋体"/>
        </w:rPr>
      </w:pPr>
      <w:r>
        <w:rPr>
          <w:rFonts w:hint="eastAsia" w:ascii="宋体" w:hAnsi="宋体"/>
          <w:lang w:val="en-US" w:eastAsia="zh-CN"/>
        </w:rPr>
        <w:t>锥形瓶：150mL；</w:t>
      </w:r>
    </w:p>
    <w:p>
      <w:pPr>
        <w:numPr>
          <w:ilvl w:val="0"/>
          <w:numId w:val="18"/>
        </w:numPr>
        <w:spacing w:line="320" w:lineRule="exact"/>
        <w:rPr>
          <w:rFonts w:ascii="宋体" w:hAnsi="宋体"/>
        </w:rPr>
      </w:pPr>
      <w:r>
        <w:rPr>
          <w:rFonts w:hint="eastAsia" w:ascii="宋体" w:hAnsi="宋体"/>
          <w:lang w:eastAsia="zh-CN"/>
        </w:rPr>
        <w:t>量筒：</w:t>
      </w:r>
      <w:r>
        <w:rPr>
          <w:rFonts w:hint="eastAsia" w:ascii="宋体" w:hAnsi="宋体"/>
          <w:lang w:val="en-US" w:eastAsia="zh-CN"/>
        </w:rPr>
        <w:t>50mL;</w:t>
      </w:r>
    </w:p>
    <w:p>
      <w:pPr>
        <w:numPr>
          <w:ilvl w:val="0"/>
          <w:numId w:val="18"/>
        </w:numPr>
        <w:spacing w:line="320" w:lineRule="exact"/>
        <w:rPr>
          <w:rFonts w:ascii="宋体" w:hAnsi="宋体"/>
        </w:rPr>
      </w:pPr>
      <w:r>
        <w:rPr>
          <w:rFonts w:hint="eastAsia" w:ascii="宋体" w:hAnsi="宋体"/>
          <w:lang w:eastAsia="zh-CN"/>
        </w:rPr>
        <w:t>电热恒温水浴锅：可控温</w:t>
      </w:r>
      <w:r>
        <w:rPr>
          <w:rFonts w:hint="eastAsia" w:ascii="宋体" w:hAnsi="宋体"/>
          <w:lang w:val="en-US" w:eastAsia="zh-CN"/>
        </w:rPr>
        <w:t>70℃。</w:t>
      </w:r>
    </w:p>
    <w:p>
      <w:pPr>
        <w:widowControl/>
        <w:numPr>
          <w:ilvl w:val="3"/>
          <w:numId w:val="0"/>
        </w:numPr>
        <w:jc w:val="left"/>
        <w:outlineLvl w:val="3"/>
        <w:rPr>
          <w:rFonts w:eastAsia="黑体"/>
          <w:kern w:val="0"/>
          <w:szCs w:val="20"/>
        </w:rPr>
      </w:pPr>
      <w:r>
        <w:rPr>
          <w:rFonts w:hint="eastAsia" w:eastAsia="黑体"/>
          <w:kern w:val="0"/>
          <w:szCs w:val="20"/>
        </w:rPr>
        <w:t>5.5.3 试验步骤</w:t>
      </w:r>
    </w:p>
    <w:p>
      <w:pPr>
        <w:spacing w:line="320" w:lineRule="exact"/>
        <w:ind w:firstLine="420" w:firstLineChars="200"/>
        <w:rPr>
          <w:rFonts w:ascii="宋体" w:hAnsi="宋体"/>
        </w:rPr>
      </w:pPr>
      <w:r>
        <w:rPr>
          <w:rFonts w:hint="eastAsia" w:ascii="宋体" w:hAnsi="宋体"/>
        </w:rPr>
        <w:t>称取3g试样（精确至0</w:t>
      </w:r>
      <w:r>
        <w:rPr>
          <w:rFonts w:hint="eastAsia" w:ascii="宋体" w:hAnsi="宋体"/>
          <w:b/>
        </w:rPr>
        <w:t>.</w:t>
      </w:r>
      <w:r>
        <w:rPr>
          <w:rFonts w:hint="eastAsia" w:ascii="宋体" w:hAnsi="宋体"/>
        </w:rPr>
        <w:t>0002g）置于150mL锥形瓶中，加入40</w:t>
      </w:r>
      <w:r>
        <w:rPr>
          <w:rFonts w:ascii="宋体" w:hAnsi="宋体"/>
        </w:rPr>
        <w:t>mL</w:t>
      </w:r>
      <w:r>
        <w:rPr>
          <w:rFonts w:hint="eastAsia" w:ascii="宋体" w:hAnsi="宋体"/>
        </w:rPr>
        <w:t>中性乙醇，放入热水浴中至试样溶解后，加入3-5滴溴酚蓝指示剂，趁热以0</w:t>
      </w:r>
      <w:r>
        <w:rPr>
          <w:rFonts w:ascii="宋体" w:hAnsi="宋体"/>
        </w:rPr>
        <w:t>.1mol</w:t>
      </w:r>
      <w:r>
        <w:rPr>
          <w:rFonts w:hint="eastAsia" w:ascii="宋体" w:hAnsi="宋体"/>
        </w:rPr>
        <w:t>/L盐酸标准溶液滴定至溶液由蓝色变为黄绿色为终点。</w:t>
      </w:r>
    </w:p>
    <w:p>
      <w:pPr>
        <w:widowControl/>
        <w:numPr>
          <w:ilvl w:val="3"/>
          <w:numId w:val="0"/>
        </w:numPr>
        <w:jc w:val="left"/>
        <w:outlineLvl w:val="3"/>
        <w:rPr>
          <w:rFonts w:eastAsia="黑体"/>
          <w:kern w:val="0"/>
          <w:szCs w:val="20"/>
        </w:rPr>
      </w:pPr>
      <w:r>
        <w:rPr>
          <w:rFonts w:hint="eastAsia" w:eastAsia="黑体"/>
          <w:kern w:val="0"/>
          <w:szCs w:val="20"/>
        </w:rPr>
        <w:t>5.5.4结果计算</w:t>
      </w:r>
    </w:p>
    <w:p>
      <w:pPr>
        <w:widowControl/>
        <w:jc w:val="left"/>
        <w:outlineLvl w:val="4"/>
        <w:rPr>
          <w:rFonts w:ascii="宋体" w:hAnsi="宋体"/>
          <w:kern w:val="0"/>
          <w:szCs w:val="20"/>
        </w:rPr>
      </w:pPr>
      <w:r>
        <w:rPr>
          <w:rFonts w:hint="eastAsia" w:ascii="宋体" w:hAnsi="宋体"/>
          <w:kern w:val="0"/>
          <w:szCs w:val="20"/>
        </w:rPr>
        <w:t>5.5.4.1</w:t>
      </w:r>
      <w:r>
        <w:rPr>
          <w:rFonts w:hint="eastAsia" w:ascii="宋体" w:hAnsi="宋体"/>
          <w:kern w:val="0"/>
          <w:szCs w:val="20"/>
          <w:lang w:eastAsia="zh-CN"/>
        </w:rPr>
        <w:t>残余胺以</w:t>
      </w:r>
      <w:r>
        <w:rPr>
          <w:rFonts w:hint="eastAsia" w:ascii="宋体" w:hAnsi="宋体"/>
          <w:kern w:val="0"/>
          <w:szCs w:val="20"/>
        </w:rPr>
        <w:t>胺值</w:t>
      </w:r>
      <w:r>
        <w:rPr>
          <w:rFonts w:ascii="宋体" w:hAnsi="宋体"/>
          <w:kern w:val="0"/>
          <w:position w:val="-10"/>
          <w:szCs w:val="20"/>
        </w:rPr>
        <w:object>
          <v:shape id="_x0000_i1025" o:spt="75" type="#_x0000_t75" style="height:18pt;width:18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eastAsia" w:ascii="宋体" w:hAnsi="宋体"/>
          <w:kern w:val="0"/>
          <w:szCs w:val="20"/>
          <w:lang w:eastAsia="zh-CN"/>
        </w:rPr>
        <w:t>表示，</w:t>
      </w:r>
      <w:r>
        <w:rPr>
          <w:rFonts w:hint="eastAsia" w:ascii="宋体" w:hAnsi="宋体"/>
          <w:kern w:val="0"/>
          <w:szCs w:val="20"/>
        </w:rPr>
        <w:t xml:space="preserve">数值以mgKOH/g表示，按式（1）计算：                                      </w:t>
      </w:r>
    </w:p>
    <w:p>
      <w:pPr>
        <w:ind w:left="420" w:leftChars="200" w:firstLine="3570" w:firstLineChars="1700"/>
        <w:jc w:val="right"/>
        <w:rPr>
          <w:rFonts w:ascii="宋体" w:hAnsi="宋体"/>
        </w:rPr>
      </w:pPr>
      <w:r>
        <w:rPr>
          <w:rFonts w:ascii="宋体" w:cs="宋体"/>
          <w:position w:val="-24"/>
        </w:rPr>
        <w:object>
          <v:shape id="_x0000_i1026" o:spt="75" type="#_x0000_t75" style="height:30pt;width:96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eastAsia" w:ascii="宋体" w:cs="宋体"/>
        </w:rPr>
        <w:t xml:space="preserve">  </w:t>
      </w:r>
      <w:r>
        <w:rPr>
          <w:rFonts w:hint="eastAsia" w:ascii="宋体" w:hAnsi="宋体"/>
        </w:rPr>
        <w:t>…………………………………（1</w:t>
      </w:r>
      <w:r>
        <w:rPr>
          <w:rFonts w:ascii="宋体" w:hAnsi="宋体"/>
        </w:rPr>
        <w:t>）</w:t>
      </w:r>
    </w:p>
    <w:p>
      <w:pPr>
        <w:widowControl/>
        <w:jc w:val="left"/>
        <w:outlineLvl w:val="4"/>
        <w:rPr>
          <w:rFonts w:ascii="宋体" w:hAnsi="宋体"/>
          <w:kern w:val="0"/>
          <w:szCs w:val="20"/>
        </w:rPr>
      </w:pPr>
      <w:r>
        <w:rPr>
          <w:rFonts w:hint="eastAsia" w:ascii="宋体" w:hAnsi="宋体"/>
          <w:kern w:val="0"/>
          <w:szCs w:val="20"/>
        </w:rPr>
        <w:t>5.5.4.2</w:t>
      </w:r>
      <w:r>
        <w:rPr>
          <w:rFonts w:hint="eastAsia" w:ascii="宋体" w:hAnsi="宋体"/>
          <w:kern w:val="0"/>
          <w:szCs w:val="20"/>
          <w:lang w:eastAsia="zh-CN"/>
        </w:rPr>
        <w:t>残余胺以</w:t>
      </w:r>
      <w:r>
        <w:rPr>
          <w:rFonts w:hint="eastAsia" w:ascii="宋体" w:hAnsi="宋体"/>
          <w:kern w:val="0"/>
          <w:szCs w:val="20"/>
        </w:rPr>
        <w:t>质量百分数</w:t>
      </w:r>
      <w:r>
        <w:rPr>
          <w:rFonts w:ascii="宋体" w:hAnsi="宋体"/>
          <w:kern w:val="0"/>
          <w:position w:val="-10"/>
          <w:szCs w:val="20"/>
        </w:rPr>
        <w:object>
          <v:shape id="_x0000_i1027" o:spt="75" type="#_x0000_t75" style="height:18pt;width:18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eastAsia" w:ascii="宋体" w:hAnsi="宋体"/>
          <w:kern w:val="0"/>
          <w:szCs w:val="20"/>
        </w:rPr>
        <w:t>表示，数值以%表示，按式（2）计算：</w:t>
      </w:r>
    </w:p>
    <w:p>
      <w:pPr>
        <w:tabs>
          <w:tab w:val="left" w:pos="540"/>
        </w:tabs>
        <w:jc w:val="right"/>
        <w:rPr>
          <w:rFonts w:ascii="宋体" w:hAnsi="宋体"/>
        </w:rPr>
      </w:pPr>
      <w:r>
        <w:rPr>
          <w:rFonts w:ascii="宋体" w:hAnsi="宋体"/>
          <w:position w:val="-24"/>
        </w:rPr>
        <w:object>
          <v:shape id="_x0000_i1028" o:spt="75" type="#_x0000_t75" style="height:30pt;width:138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ascii="宋体" w:hAnsi="宋体"/>
        </w:rPr>
        <w:t>…………………………</w:t>
      </w:r>
      <w:r>
        <w:rPr>
          <w:rFonts w:hint="eastAsia" w:ascii="宋体" w:hAnsi="宋体"/>
        </w:rPr>
        <w:t>（2）</w:t>
      </w:r>
    </w:p>
    <w:p>
      <w:pPr>
        <w:tabs>
          <w:tab w:val="left" w:pos="540"/>
        </w:tabs>
        <w:spacing w:line="320" w:lineRule="exact"/>
        <w:ind w:firstLine="420" w:firstLineChars="200"/>
        <w:rPr>
          <w:rFonts w:ascii="宋体" w:hAnsi="宋体"/>
        </w:rPr>
      </w:pPr>
      <w:r>
        <w:rPr>
          <w:rFonts w:hint="eastAsia" w:ascii="宋体" w:hAnsi="宋体"/>
        </w:rPr>
        <w:t>式中：</w:t>
      </w:r>
    </w:p>
    <w:p>
      <w:pPr>
        <w:tabs>
          <w:tab w:val="left" w:pos="540"/>
        </w:tabs>
        <w:spacing w:line="320" w:lineRule="exact"/>
        <w:rPr>
          <w:rFonts w:ascii="宋体" w:hAnsi="宋体"/>
        </w:rPr>
      </w:pPr>
      <w:r>
        <w:rPr>
          <w:rFonts w:hint="eastAsia" w:ascii="宋体" w:hAnsi="宋体"/>
        </w:rPr>
        <w:t xml:space="preserve">       </w:t>
      </w:r>
      <w:r>
        <w:rPr>
          <w:rFonts w:ascii="宋体" w:hAnsi="宋体"/>
          <w:position w:val="-10"/>
        </w:rPr>
        <w:object>
          <v:shape id="_x0000_i1029" o:spt="75" type="#_x0000_t75" style="height:18pt;width:18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rFonts w:hint="eastAsia" w:ascii="宋体" w:hAnsi="宋体"/>
        </w:rPr>
        <w:t>——胺值，mgKOH/g；</w:t>
      </w:r>
    </w:p>
    <w:p>
      <w:pPr>
        <w:tabs>
          <w:tab w:val="left" w:pos="540"/>
        </w:tabs>
        <w:spacing w:line="320" w:lineRule="exact"/>
        <w:ind w:firstLine="630" w:firstLineChars="300"/>
        <w:rPr>
          <w:rFonts w:ascii="宋体" w:hAnsi="宋体"/>
        </w:rPr>
      </w:pPr>
      <w:r>
        <w:rPr>
          <w:rFonts w:ascii="宋体" w:hAnsi="宋体"/>
          <w:position w:val="-10"/>
        </w:rPr>
        <w:object>
          <v:shape id="_x0000_i1030" o:spt="75" type="#_x0000_t75" style="height:18pt;width:18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rPr>
          <w:rFonts w:hint="eastAsia" w:ascii="宋体" w:hAnsi="宋体"/>
        </w:rPr>
        <w:t>——胺值，%；</w:t>
      </w:r>
    </w:p>
    <w:p>
      <w:pPr>
        <w:tabs>
          <w:tab w:val="left" w:pos="540"/>
        </w:tabs>
        <w:spacing w:line="320" w:lineRule="exact"/>
        <w:ind w:firstLine="630" w:firstLineChars="300"/>
        <w:rPr>
          <w:rFonts w:ascii="宋体" w:hAnsi="宋体"/>
        </w:rPr>
      </w:pPr>
      <w:r>
        <w:rPr>
          <w:rFonts w:ascii="宋体" w:hAnsi="宋体"/>
          <w:position w:val="-6"/>
        </w:rPr>
        <w:object>
          <v:shape id="_x0000_i1031" o:spt="75" type="#_x0000_t75" style="height:12pt;width:12pt;" o:ole="t" filled="f" o:preferrelative="t" stroked="f" coordsize="21600,21600">
            <v:path/>
            <v:fill on="f" focussize="0,0"/>
            <v:stroke on="f" joinstyle="miter"/>
            <v:imagedata r:id="rId21" o:title=""/>
            <o:lock v:ext="edit" aspectratio="t"/>
            <w10:wrap type="none"/>
            <w10:anchorlock/>
          </v:shape>
          <o:OLEObject Type="Embed" ProgID="Equation.3" ShapeID="_x0000_i1031" DrawAspect="Content" ObjectID="_1468075731" r:id="rId20">
            <o:LockedField>false</o:LockedField>
          </o:OLEObject>
        </w:object>
      </w:r>
      <w:r>
        <w:rPr>
          <w:rFonts w:hint="eastAsia" w:ascii="宋体" w:hAnsi="宋体"/>
        </w:rPr>
        <w:t>——盐酸标准溶液的浓度，</w:t>
      </w:r>
      <w:r>
        <w:rPr>
          <w:rFonts w:ascii="宋体" w:hAnsi="宋体"/>
        </w:rPr>
        <w:t>mol</w:t>
      </w:r>
      <w:r>
        <w:rPr>
          <w:rFonts w:hint="eastAsia" w:ascii="宋体" w:hAnsi="宋体"/>
        </w:rPr>
        <w:t>/L；</w:t>
      </w:r>
    </w:p>
    <w:p>
      <w:pPr>
        <w:tabs>
          <w:tab w:val="left" w:pos="540"/>
        </w:tabs>
        <w:spacing w:line="320" w:lineRule="exact"/>
        <w:ind w:firstLine="630" w:firstLineChars="300"/>
        <w:rPr>
          <w:rFonts w:ascii="宋体" w:hAnsi="宋体"/>
        </w:rPr>
      </w:pPr>
      <w:r>
        <w:rPr>
          <w:rFonts w:ascii="宋体" w:hAnsi="宋体"/>
          <w:position w:val="-6"/>
        </w:rPr>
        <w:object>
          <v:shape id="_x0000_i1032" o:spt="75" type="#_x0000_t75" style="height:12pt;width:12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r>
        <w:rPr>
          <w:rFonts w:hint="eastAsia" w:ascii="宋体" w:hAnsi="宋体"/>
        </w:rPr>
        <w:t>——耗用盐酸标准溶液的体积，</w:t>
      </w:r>
      <w:r>
        <w:rPr>
          <w:rFonts w:ascii="宋体" w:hAnsi="宋体"/>
        </w:rPr>
        <w:t>mL</w:t>
      </w:r>
      <w:r>
        <w:rPr>
          <w:rFonts w:hint="eastAsia" w:ascii="宋体" w:hAnsi="宋体"/>
        </w:rPr>
        <w:t>；</w:t>
      </w:r>
    </w:p>
    <w:p>
      <w:pPr>
        <w:tabs>
          <w:tab w:val="left" w:pos="540"/>
        </w:tabs>
        <w:spacing w:line="320" w:lineRule="exact"/>
        <w:ind w:firstLine="630" w:firstLineChars="300"/>
        <w:rPr>
          <w:rFonts w:ascii="宋体" w:hAnsi="宋体"/>
        </w:rPr>
      </w:pPr>
      <w:r>
        <w:rPr>
          <w:rFonts w:ascii="宋体" w:hAnsi="宋体"/>
          <w:position w:val="-6"/>
        </w:rPr>
        <w:object>
          <v:shape id="_x0000_i1033" o:spt="75" type="#_x0000_t75" style="height:12pt;width:12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ascii="宋体" w:hAnsi="宋体"/>
        </w:rPr>
        <w:t>——试样质量，</w:t>
      </w:r>
      <w:r>
        <w:rPr>
          <w:rFonts w:ascii="宋体" w:hAnsi="宋体"/>
        </w:rPr>
        <w:t>g</w:t>
      </w:r>
      <w:r>
        <w:rPr>
          <w:rFonts w:hint="eastAsia" w:ascii="宋体" w:hAnsi="宋体"/>
        </w:rPr>
        <w:t>；</w:t>
      </w:r>
    </w:p>
    <w:p>
      <w:pPr>
        <w:tabs>
          <w:tab w:val="left" w:pos="540"/>
          <w:tab w:val="left" w:pos="720"/>
        </w:tabs>
        <w:spacing w:line="320" w:lineRule="exact"/>
        <w:ind w:firstLine="630" w:firstLineChars="300"/>
        <w:rPr>
          <w:rFonts w:ascii="宋体" w:hAnsi="宋体"/>
        </w:rPr>
      </w:pPr>
      <w:r>
        <w:rPr>
          <w:rFonts w:ascii="宋体" w:hAnsi="宋体"/>
          <w:position w:val="-6"/>
        </w:rPr>
        <w:object>
          <v:shape id="_x0000_i1034" o:spt="75" type="#_x0000_t75" style="height:12pt;width:30pt;" o:ole="t" filled="f" o:preferrelative="t" stroked="f" coordsize="21600,21600">
            <v:path/>
            <v:fill on="f" focussize="0,0"/>
            <v:stroke on="f" joinstyle="miter"/>
            <v:imagedata r:id="rId27" o:title=""/>
            <o:lock v:ext="edit" aspectratio="t"/>
            <w10:wrap type="none"/>
            <w10:anchorlock/>
          </v:shape>
          <o:OLEObject Type="Embed" ProgID="Equation.3" ShapeID="_x0000_i1034" DrawAspect="Content" ObjectID="_1468075734" r:id="rId26">
            <o:LockedField>false</o:LockedField>
          </o:OLEObject>
        </w:object>
      </w:r>
      <w:r>
        <w:rPr>
          <w:rFonts w:hint="eastAsia" w:ascii="宋体" w:hAnsi="宋体"/>
        </w:rPr>
        <w:t>——与1mL盐酸标准溶液相当的氢氧化钾质量；</w:t>
      </w:r>
    </w:p>
    <w:p>
      <w:pPr>
        <w:tabs>
          <w:tab w:val="left" w:pos="540"/>
        </w:tabs>
        <w:spacing w:line="320" w:lineRule="exact"/>
        <w:ind w:firstLine="630" w:firstLineChars="300"/>
        <w:rPr>
          <w:rFonts w:ascii="宋体" w:hAnsi="宋体"/>
        </w:rPr>
      </w:pPr>
      <w:r>
        <w:rPr>
          <w:rFonts w:hint="eastAsia" w:ascii="宋体" w:hAnsi="宋体"/>
        </w:rPr>
        <w:t>0.06108—— 与1.00m</w:t>
      </w:r>
      <w:r>
        <w:rPr>
          <w:rFonts w:hint="eastAsia" w:ascii="宋体" w:hAnsi="宋体"/>
          <w:lang w:val="en-US" w:eastAsia="zh-CN"/>
        </w:rPr>
        <w:t>L</w:t>
      </w:r>
      <w:r>
        <w:rPr>
          <w:rFonts w:hint="eastAsia" w:ascii="宋体" w:hAnsi="宋体"/>
        </w:rPr>
        <w:t>盐酸标准溶液（C</w:t>
      </w:r>
      <w:r>
        <w:rPr>
          <w:rFonts w:hint="eastAsia" w:ascii="宋体" w:hAnsi="宋体"/>
          <w:vertAlign w:val="subscript"/>
        </w:rPr>
        <w:t>(HCI)</w:t>
      </w:r>
      <w:r>
        <w:rPr>
          <w:rFonts w:hint="eastAsia" w:ascii="宋体" w:hAnsi="宋体"/>
        </w:rPr>
        <w:t>=1.000mol/L</w:t>
      </w:r>
      <w:r>
        <w:rPr>
          <w:rFonts w:ascii="宋体" w:hAnsi="宋体"/>
        </w:rPr>
        <w:t>）</w:t>
      </w:r>
      <w:r>
        <w:rPr>
          <w:rFonts w:hint="eastAsia" w:ascii="宋体" w:hAnsi="宋体"/>
        </w:rPr>
        <w:t>相当的单乙醇胺的质量，g 。</w:t>
      </w:r>
    </w:p>
    <w:p>
      <w:pPr>
        <w:widowControl/>
        <w:numPr>
          <w:ilvl w:val="3"/>
          <w:numId w:val="0"/>
        </w:numPr>
        <w:jc w:val="left"/>
        <w:outlineLvl w:val="3"/>
        <w:rPr>
          <w:rFonts w:eastAsia="黑体"/>
          <w:kern w:val="0"/>
          <w:szCs w:val="20"/>
        </w:rPr>
      </w:pPr>
      <w:r>
        <w:rPr>
          <w:rFonts w:hint="eastAsia" w:eastAsia="黑体"/>
          <w:kern w:val="0"/>
          <w:szCs w:val="20"/>
        </w:rPr>
        <w:t>5.5.5允许误差</w:t>
      </w:r>
    </w:p>
    <w:p>
      <w:pPr>
        <w:spacing w:line="320" w:lineRule="exact"/>
        <w:ind w:firstLine="420" w:firstLineChars="200"/>
        <w:rPr>
          <w:rFonts w:ascii="宋体" w:hAnsi="宋体"/>
        </w:rPr>
      </w:pPr>
      <w:r>
        <w:rPr>
          <w:rFonts w:hint="eastAsia" w:ascii="宋体" w:hAnsi="宋体"/>
          <w:bCs/>
        </w:rPr>
        <w:t>两次平行测定结果之绝对误差不应超过0.3</w:t>
      </w:r>
      <w:r>
        <w:rPr>
          <w:rFonts w:ascii="宋体" w:hAnsi="宋体"/>
          <w:bCs/>
        </w:rPr>
        <w:t>mgKOH/g</w:t>
      </w:r>
      <w:r>
        <w:rPr>
          <w:rFonts w:hint="eastAsia" w:ascii="宋体" w:hAnsi="宋体"/>
        </w:rPr>
        <w:t>。</w:t>
      </w:r>
    </w:p>
    <w:p>
      <w:pPr>
        <w:widowControl/>
        <w:numPr>
          <w:ilvl w:val="2"/>
          <w:numId w:val="0"/>
        </w:numPr>
        <w:jc w:val="left"/>
        <w:outlineLvl w:val="2"/>
        <w:rPr>
          <w:rFonts w:eastAsia="黑体"/>
          <w:kern w:val="0"/>
          <w:szCs w:val="20"/>
        </w:rPr>
      </w:pPr>
      <w:r>
        <w:rPr>
          <w:rFonts w:hint="eastAsia" w:eastAsia="黑体"/>
          <w:kern w:val="0"/>
          <w:szCs w:val="20"/>
        </w:rPr>
        <w:t>5.6 熔点的测定</w:t>
      </w:r>
    </w:p>
    <w:p>
      <w:pPr>
        <w:widowControl/>
        <w:numPr>
          <w:ilvl w:val="3"/>
          <w:numId w:val="0"/>
        </w:numPr>
        <w:jc w:val="left"/>
        <w:outlineLvl w:val="3"/>
        <w:rPr>
          <w:rFonts w:eastAsia="黑体"/>
          <w:kern w:val="0"/>
          <w:szCs w:val="20"/>
        </w:rPr>
      </w:pPr>
      <w:r>
        <w:rPr>
          <w:rFonts w:hint="eastAsia" w:eastAsia="黑体"/>
          <w:kern w:val="0"/>
          <w:szCs w:val="20"/>
        </w:rPr>
        <w:t>5.6.1仪器</w:t>
      </w:r>
    </w:p>
    <w:p>
      <w:pPr>
        <w:tabs>
          <w:tab w:val="left" w:pos="540"/>
        </w:tabs>
        <w:spacing w:line="320" w:lineRule="exact"/>
        <w:ind w:firstLine="315" w:firstLineChars="150"/>
        <w:rPr>
          <w:rFonts w:ascii="宋体" w:hAnsi="宋体"/>
        </w:rPr>
      </w:pPr>
      <w:r>
        <w:rPr>
          <w:rFonts w:hint="eastAsia" w:ascii="宋体" w:hAnsi="宋体"/>
        </w:rPr>
        <w:t>a） WRS-1B数字熔点仪；</w:t>
      </w:r>
    </w:p>
    <w:p>
      <w:pPr>
        <w:tabs>
          <w:tab w:val="left" w:pos="540"/>
        </w:tabs>
        <w:spacing w:line="320" w:lineRule="exact"/>
        <w:ind w:firstLine="315" w:firstLineChars="150"/>
        <w:rPr>
          <w:rFonts w:ascii="宋体" w:hAnsi="宋体"/>
        </w:rPr>
      </w:pPr>
      <w:r>
        <w:rPr>
          <w:rFonts w:hint="eastAsia" w:ascii="宋体" w:hAnsi="宋体"/>
        </w:rPr>
        <w:t>b) 毛细管：外径1.4mm，内径1.0mm，长度80mm，一端闭口；</w:t>
      </w:r>
    </w:p>
    <w:p>
      <w:pPr>
        <w:tabs>
          <w:tab w:val="left" w:pos="540"/>
        </w:tabs>
        <w:spacing w:line="320" w:lineRule="exact"/>
        <w:ind w:firstLine="315" w:firstLineChars="150"/>
        <w:rPr>
          <w:rFonts w:ascii="宋体" w:hAnsi="宋体"/>
        </w:rPr>
      </w:pPr>
      <w:r>
        <w:rPr>
          <w:rFonts w:hint="eastAsia" w:ascii="宋体" w:hAnsi="宋体"/>
        </w:rPr>
        <w:t>c) 不锈钢丝：小于1.0mm。</w:t>
      </w:r>
    </w:p>
    <w:p>
      <w:pPr>
        <w:tabs>
          <w:tab w:val="left" w:pos="540"/>
        </w:tabs>
        <w:spacing w:line="320" w:lineRule="exact"/>
        <w:rPr>
          <w:rFonts w:ascii="黑体" w:hAnsi="宋体" w:eastAsia="黑体"/>
          <w:szCs w:val="21"/>
        </w:rPr>
      </w:pPr>
      <w:r>
        <w:rPr>
          <w:rFonts w:hint="eastAsia" w:ascii="黑体" w:hAnsi="宋体" w:eastAsia="黑体"/>
          <w:szCs w:val="21"/>
        </w:rPr>
        <w:t>5.6.2</w:t>
      </w:r>
      <w:r>
        <w:rPr>
          <w:rFonts w:ascii="黑体" w:hAnsi="宋体" w:eastAsia="黑体"/>
          <w:szCs w:val="21"/>
        </w:rPr>
        <w:t xml:space="preserve"> </w:t>
      </w:r>
      <w:r>
        <w:rPr>
          <w:rFonts w:hint="eastAsia" w:ascii="黑体" w:hAnsi="宋体" w:eastAsia="黑体"/>
          <w:szCs w:val="21"/>
        </w:rPr>
        <w:t xml:space="preserve"> 测定</w:t>
      </w:r>
    </w:p>
    <w:p>
      <w:pPr>
        <w:tabs>
          <w:tab w:val="left" w:pos="540"/>
        </w:tabs>
        <w:spacing w:line="320" w:lineRule="exact"/>
        <w:ind w:firstLine="420" w:firstLineChars="200"/>
        <w:rPr>
          <w:rFonts w:ascii="宋体" w:hAnsi="宋体"/>
          <w:szCs w:val="21"/>
        </w:rPr>
      </w:pPr>
      <w:r>
        <w:rPr>
          <w:rFonts w:hint="eastAsia" w:ascii="宋体" w:hAnsi="宋体"/>
          <w:szCs w:val="21"/>
        </w:rPr>
        <w:t>将样品倒入干燥洁净的表面皿中，要玻璃棒轻轻压碎，用毛细管开口处插在样品上，再用不锈钢丝将样品推到毛细管的封口处，压实，样品高度约为 3毫米。按WRS-1B的操作步骤设置预置温度(CMEA-A为64℃；CMEA-B为60℃；)和升温速率（2℃/min</w:t>
      </w:r>
      <w:r>
        <w:rPr>
          <w:rFonts w:ascii="宋体" w:hAnsi="宋体"/>
          <w:szCs w:val="21"/>
        </w:rPr>
        <w:t>）</w:t>
      </w:r>
      <w:r>
        <w:rPr>
          <w:rFonts w:hint="eastAsia" w:ascii="宋体" w:hAnsi="宋体"/>
          <w:szCs w:val="21"/>
        </w:rPr>
        <w:t>，当WRS-1B的预置温度稳定后，插入装入样品的毛细管，记下初熔点和终熔点值，取初熔点和终熔点的平均值为试样的测试结果。</w:t>
      </w:r>
    </w:p>
    <w:p>
      <w:pPr>
        <w:spacing w:line="320" w:lineRule="exact"/>
        <w:rPr>
          <w:rFonts w:ascii="黑体" w:hAnsi="宋体" w:eastAsia="黑体"/>
          <w:color w:val="000000"/>
          <w:szCs w:val="20"/>
        </w:rPr>
      </w:pPr>
      <w:r>
        <w:rPr>
          <w:rFonts w:hint="eastAsia" w:ascii="黑体" w:hAnsi="宋体" w:eastAsia="黑体"/>
          <w:color w:val="000000"/>
          <w:szCs w:val="20"/>
        </w:rPr>
        <w:t>5.6.3 允许误差</w:t>
      </w:r>
    </w:p>
    <w:p>
      <w:pPr>
        <w:spacing w:line="320" w:lineRule="exact"/>
        <w:ind w:firstLine="420" w:firstLineChars="200"/>
        <w:rPr>
          <w:rFonts w:ascii="宋体" w:hAnsi="宋体"/>
          <w:bCs/>
        </w:rPr>
      </w:pPr>
      <w:r>
        <w:rPr>
          <w:rFonts w:hint="eastAsia" w:ascii="宋体" w:hAnsi="宋体"/>
          <w:bCs/>
        </w:rPr>
        <w:t>两次平行测定结果之绝对误差不大于0.3℃。</w:t>
      </w:r>
    </w:p>
    <w:p>
      <w:pPr>
        <w:widowControl/>
        <w:numPr>
          <w:ilvl w:val="2"/>
          <w:numId w:val="0"/>
        </w:numPr>
        <w:jc w:val="left"/>
        <w:outlineLvl w:val="2"/>
        <w:rPr>
          <w:rFonts w:eastAsia="黑体"/>
          <w:kern w:val="0"/>
          <w:szCs w:val="20"/>
        </w:rPr>
      </w:pPr>
      <w:r>
        <w:rPr>
          <w:rFonts w:hint="eastAsia" w:ascii="宋体" w:hAnsi="宋体" w:eastAsia="黑体"/>
          <w:kern w:val="0"/>
          <w:szCs w:val="20"/>
        </w:rPr>
        <w:t>5.7 甲</w:t>
      </w:r>
      <w:r>
        <w:rPr>
          <w:rFonts w:hint="eastAsia" w:eastAsia="黑体"/>
          <w:kern w:val="0"/>
          <w:szCs w:val="20"/>
        </w:rPr>
        <w:t>酯的测定</w:t>
      </w:r>
    </w:p>
    <w:p>
      <w:pPr>
        <w:widowControl/>
        <w:numPr>
          <w:ilvl w:val="3"/>
          <w:numId w:val="0"/>
        </w:numPr>
        <w:jc w:val="left"/>
        <w:outlineLvl w:val="3"/>
        <w:rPr>
          <w:rFonts w:eastAsia="黑体"/>
          <w:kern w:val="0"/>
          <w:szCs w:val="20"/>
        </w:rPr>
      </w:pPr>
      <w:r>
        <w:rPr>
          <w:rFonts w:hint="eastAsia" w:eastAsia="黑体"/>
          <w:kern w:val="0"/>
          <w:szCs w:val="20"/>
        </w:rPr>
        <w:t>5.7.1方法提要</w:t>
      </w:r>
    </w:p>
    <w:p>
      <w:pPr>
        <w:widowControl/>
        <w:autoSpaceDE w:val="0"/>
        <w:autoSpaceDN w:val="0"/>
        <w:ind w:firstLine="420" w:firstLineChars="200"/>
        <w:rPr>
          <w:rFonts w:ascii="Arial" w:hAnsi="Arial" w:cs="Arial"/>
          <w:color w:val="333333"/>
          <w:kern w:val="0"/>
          <w:szCs w:val="21"/>
        </w:rPr>
      </w:pPr>
      <w:r>
        <w:rPr>
          <w:rFonts w:hint="eastAsia" w:ascii="宋体" w:hAnsi="宋体"/>
          <w:bCs/>
          <w:kern w:val="0"/>
          <w:szCs w:val="20"/>
        </w:rPr>
        <w:t xml:space="preserve"> </w:t>
      </w:r>
      <w:r>
        <w:rPr>
          <w:rFonts w:hint="eastAsia" w:ascii="宋体"/>
          <w:kern w:val="0"/>
          <w:szCs w:val="20"/>
        </w:rPr>
        <w:t>酯在</w:t>
      </w:r>
      <w:r>
        <w:rPr>
          <w:rFonts w:ascii="宋体"/>
          <w:kern w:val="0"/>
          <w:szCs w:val="20"/>
        </w:rPr>
        <w:t>碱</w:t>
      </w:r>
      <w:r>
        <w:rPr>
          <w:rFonts w:hint="eastAsia" w:ascii="宋体"/>
          <w:kern w:val="0"/>
          <w:szCs w:val="20"/>
        </w:rPr>
        <w:t>性条件下</w:t>
      </w:r>
      <w:r>
        <w:rPr>
          <w:rFonts w:ascii="宋体"/>
          <w:kern w:val="0"/>
          <w:szCs w:val="20"/>
        </w:rPr>
        <w:t>水解</w:t>
      </w:r>
      <w:r>
        <w:rPr>
          <w:rFonts w:hint="eastAsia" w:ascii="宋体"/>
          <w:kern w:val="0"/>
          <w:szCs w:val="20"/>
        </w:rPr>
        <w:t>为脂肪酸和醇，通过测定脂肪酸和氢氧化钾反应消耗的量，可以计算出酯的含量。</w:t>
      </w:r>
    </w:p>
    <w:p>
      <w:pPr>
        <w:widowControl/>
        <w:autoSpaceDE w:val="0"/>
        <w:autoSpaceDN w:val="0"/>
        <w:rPr>
          <w:rFonts w:ascii="宋体"/>
          <w:kern w:val="0"/>
          <w:szCs w:val="20"/>
        </w:rPr>
      </w:pPr>
      <w:r>
        <w:rPr>
          <w:rFonts w:hint="eastAsia" w:ascii="Arial" w:hAnsi="Arial" w:cs="Arial"/>
          <w:color w:val="333333"/>
          <w:kern w:val="0"/>
          <w:szCs w:val="21"/>
        </w:rPr>
        <w:t xml:space="preserve">5.7.2 </w:t>
      </w:r>
      <w:r>
        <w:rPr>
          <w:rFonts w:hint="eastAsia" w:ascii="宋体"/>
          <w:kern w:val="0"/>
          <w:szCs w:val="20"/>
        </w:rPr>
        <w:t>试剂与仪器</w:t>
      </w:r>
    </w:p>
    <w:p>
      <w:pPr>
        <w:numPr>
          <w:ilvl w:val="0"/>
          <w:numId w:val="19"/>
        </w:numPr>
        <w:spacing w:line="320" w:lineRule="exact"/>
        <w:rPr>
          <w:rFonts w:ascii="宋体" w:hAnsi="宋体"/>
        </w:rPr>
      </w:pPr>
      <w:r>
        <w:rPr>
          <w:rFonts w:hint="eastAsia" w:ascii="宋体" w:hAnsi="宋体"/>
        </w:rPr>
        <w:t>中性乙醇：用碱液中和至对酚酞呈微红色；精度0.2℃；</w:t>
      </w:r>
    </w:p>
    <w:p>
      <w:pPr>
        <w:numPr>
          <w:ilvl w:val="0"/>
          <w:numId w:val="19"/>
        </w:numPr>
        <w:spacing w:line="320" w:lineRule="exact"/>
        <w:rPr>
          <w:rFonts w:ascii="宋体" w:hAnsi="宋体"/>
        </w:rPr>
      </w:pPr>
      <w:r>
        <w:rPr>
          <w:rFonts w:hint="eastAsia" w:ascii="宋体" w:hAnsi="宋体"/>
        </w:rPr>
        <w:t>氢氧化钾-乙醇溶液：0.1mol/L；</w:t>
      </w:r>
    </w:p>
    <w:p>
      <w:pPr>
        <w:numPr>
          <w:ilvl w:val="0"/>
          <w:numId w:val="19"/>
        </w:numPr>
        <w:spacing w:line="320" w:lineRule="exact"/>
        <w:rPr>
          <w:rFonts w:ascii="宋体" w:hAnsi="宋体"/>
        </w:rPr>
      </w:pPr>
      <w:r>
        <w:rPr>
          <w:rFonts w:hint="eastAsia" w:ascii="宋体" w:hAnsi="宋体"/>
        </w:rPr>
        <w:t>盐酸标准溶液：0.1mol/L；</w:t>
      </w:r>
    </w:p>
    <w:p>
      <w:pPr>
        <w:numPr>
          <w:ilvl w:val="0"/>
          <w:numId w:val="19"/>
        </w:numPr>
        <w:spacing w:line="320" w:lineRule="exact"/>
        <w:rPr>
          <w:rFonts w:ascii="宋体" w:hAnsi="宋体"/>
        </w:rPr>
      </w:pPr>
      <w:r>
        <w:rPr>
          <w:rFonts w:hint="eastAsia" w:ascii="宋体" w:hAnsi="宋体"/>
        </w:rPr>
        <w:t>酚酞指示液：10g/L；</w:t>
      </w:r>
    </w:p>
    <w:p>
      <w:pPr>
        <w:numPr>
          <w:ilvl w:val="0"/>
          <w:numId w:val="19"/>
        </w:numPr>
        <w:spacing w:line="320" w:lineRule="exact"/>
        <w:rPr>
          <w:rFonts w:ascii="宋体" w:hAnsi="宋体"/>
        </w:rPr>
      </w:pPr>
      <w:r>
        <w:rPr>
          <w:rFonts w:hint="eastAsia" w:ascii="宋体" w:hAnsi="宋体"/>
        </w:rPr>
        <w:t>冷凝管：L=400mm，具24</w:t>
      </w:r>
      <w:r>
        <w:rPr>
          <w:rFonts w:hint="eastAsia" w:ascii="宋体" w:hAnsi="宋体"/>
          <w:vertAlign w:val="superscript"/>
        </w:rPr>
        <w:t>#</w:t>
      </w:r>
      <w:r>
        <w:rPr>
          <w:rFonts w:hint="eastAsia" w:ascii="宋体" w:hAnsi="宋体"/>
        </w:rPr>
        <w:t>标准磨口；</w:t>
      </w:r>
    </w:p>
    <w:p>
      <w:pPr>
        <w:numPr>
          <w:ilvl w:val="0"/>
          <w:numId w:val="19"/>
        </w:numPr>
        <w:spacing w:line="320" w:lineRule="exact"/>
        <w:rPr>
          <w:rFonts w:ascii="宋体" w:hAnsi="宋体"/>
        </w:rPr>
      </w:pPr>
      <w:r>
        <w:rPr>
          <w:rFonts w:hint="eastAsia" w:ascii="宋体" w:hAnsi="宋体"/>
        </w:rPr>
        <w:t>具塞滴定管：25mL；</w:t>
      </w:r>
    </w:p>
    <w:p>
      <w:pPr>
        <w:numPr>
          <w:ilvl w:val="0"/>
          <w:numId w:val="19"/>
        </w:numPr>
        <w:spacing w:line="320" w:lineRule="exact"/>
        <w:rPr>
          <w:rFonts w:ascii="宋体" w:hAnsi="宋体"/>
        </w:rPr>
      </w:pPr>
      <w:r>
        <w:rPr>
          <w:rFonts w:hint="eastAsia" w:ascii="宋体" w:hAnsi="宋体"/>
        </w:rPr>
        <w:t>具塞锥形瓶：250m</w:t>
      </w:r>
      <w:r>
        <w:rPr>
          <w:rFonts w:hint="eastAsia" w:ascii="宋体" w:hAnsi="宋体"/>
          <w:lang w:val="en-US" w:eastAsia="zh-CN"/>
        </w:rPr>
        <w:t>L；</w:t>
      </w:r>
    </w:p>
    <w:p>
      <w:pPr>
        <w:numPr>
          <w:ilvl w:val="0"/>
          <w:numId w:val="19"/>
        </w:numPr>
        <w:spacing w:line="320" w:lineRule="exact"/>
        <w:rPr>
          <w:rFonts w:ascii="宋体" w:hAnsi="宋体"/>
        </w:rPr>
      </w:pPr>
      <w:r>
        <w:rPr>
          <w:rFonts w:hint="eastAsia" w:ascii="宋体" w:hAnsi="宋体"/>
        </w:rPr>
        <w:t>电热恒温水浴锅：可恒温在100</w:t>
      </w:r>
      <w:r>
        <w:rPr>
          <w:rFonts w:hint="eastAsia" w:ascii="宋体" w:hAnsi="宋体" w:cs="宋体"/>
        </w:rPr>
        <w:t>℃</w:t>
      </w:r>
      <w:r>
        <w:rPr>
          <w:rFonts w:hint="eastAsia" w:ascii="宋体" w:hAnsi="宋体"/>
        </w:rPr>
        <w:t>.</w:t>
      </w:r>
    </w:p>
    <w:p>
      <w:pPr>
        <w:widowControl/>
        <w:numPr>
          <w:ilvl w:val="3"/>
          <w:numId w:val="0"/>
        </w:numPr>
        <w:jc w:val="left"/>
        <w:outlineLvl w:val="3"/>
        <w:rPr>
          <w:rFonts w:eastAsia="黑体"/>
          <w:kern w:val="0"/>
          <w:szCs w:val="20"/>
        </w:rPr>
      </w:pPr>
      <w:r>
        <w:rPr>
          <w:rFonts w:hint="eastAsia" w:eastAsia="黑体"/>
          <w:kern w:val="0"/>
          <w:szCs w:val="20"/>
        </w:rPr>
        <w:t>5.7.3 试验步骤</w:t>
      </w:r>
    </w:p>
    <w:p>
      <w:pPr>
        <w:spacing w:line="320" w:lineRule="exact"/>
        <w:ind w:firstLine="420"/>
        <w:rPr>
          <w:rFonts w:ascii="宋体" w:hAnsi="宋体"/>
        </w:rPr>
      </w:pPr>
      <w:r>
        <w:rPr>
          <w:rFonts w:hint="eastAsia" w:ascii="宋体" w:hAnsi="宋体"/>
        </w:rPr>
        <w:t>称取5g试样（精确至0.0002g）于250mL具塞锥形瓶中，加入30mL中性乙醇，用移液管加入氢氧化钾-乙醇溶液10mL，接上冷凝管，于100</w:t>
      </w:r>
      <w:r>
        <w:rPr>
          <w:rFonts w:hint="eastAsia" w:ascii="宋体" w:hAnsi="宋体" w:cs="宋体"/>
        </w:rPr>
        <w:t>℃</w:t>
      </w:r>
      <w:r>
        <w:rPr>
          <w:rFonts w:hint="eastAsia" w:ascii="宋体" w:hAnsi="宋体"/>
        </w:rPr>
        <w:t>水浴回流1h。冷却后，用20mL乙醇洗涤冷凝管及磨口接头处。滴加3滴酚酞指示液，用盐酸标准溶液滴定至终点，同时在相同条件下作空白试验。</w:t>
      </w:r>
    </w:p>
    <w:p>
      <w:pPr>
        <w:widowControl/>
        <w:numPr>
          <w:ilvl w:val="3"/>
          <w:numId w:val="0"/>
        </w:numPr>
        <w:jc w:val="left"/>
        <w:outlineLvl w:val="3"/>
        <w:rPr>
          <w:rFonts w:eastAsia="黑体"/>
          <w:kern w:val="0"/>
          <w:szCs w:val="20"/>
        </w:rPr>
      </w:pPr>
      <w:r>
        <w:rPr>
          <w:rFonts w:hint="eastAsia" w:eastAsia="黑体"/>
          <w:kern w:val="0"/>
          <w:szCs w:val="20"/>
        </w:rPr>
        <w:t>5.7.4 结果计算</w:t>
      </w:r>
    </w:p>
    <w:p>
      <w:pPr>
        <w:spacing w:line="320" w:lineRule="exact"/>
        <w:ind w:firstLine="420"/>
        <w:rPr>
          <w:rFonts w:ascii="宋体" w:hAnsi="宋体"/>
        </w:rPr>
      </w:pPr>
      <w:r>
        <w:rPr>
          <w:rFonts w:hint="eastAsia" w:ascii="宋体" w:hAnsi="宋体"/>
        </w:rPr>
        <w:t>甲酯的质量分数（以椰油酸甲酯计）以X</w:t>
      </w:r>
      <w:r>
        <w:rPr>
          <w:rFonts w:hint="eastAsia" w:ascii="宋体" w:hAnsi="宋体"/>
          <w:vertAlign w:val="subscript"/>
        </w:rPr>
        <w:t>3</w:t>
      </w:r>
      <w:r>
        <w:rPr>
          <w:rFonts w:hint="eastAsia" w:ascii="宋体" w:hAnsi="宋体"/>
        </w:rPr>
        <w:t>计，数值以（%）表示，按式（3）计算。</w:t>
      </w:r>
    </w:p>
    <w:p>
      <w:pPr>
        <w:ind w:firstLine="2940" w:firstLineChars="1400"/>
        <w:rPr>
          <w:rFonts w:ascii="宋体" w:hAnsi="宋体"/>
        </w:rPr>
      </w:pPr>
      <w:r>
        <w:rPr>
          <w:rFonts w:hint="eastAsia"/>
          <w:i/>
          <w:iCs/>
        </w:rPr>
        <w:t>C</w:t>
      </w:r>
      <w:r>
        <w:rPr>
          <w:rFonts w:hint="eastAsia" w:ascii="宋体" w:hAnsi="宋体"/>
        </w:rPr>
        <w:t>×（</w:t>
      </w:r>
      <w:r>
        <w:rPr>
          <w:rFonts w:hint="eastAsia"/>
          <w:i/>
          <w:iCs/>
        </w:rPr>
        <w:t>V</w:t>
      </w:r>
      <w:r>
        <w:rPr>
          <w:rFonts w:hint="eastAsia" w:ascii="宋体" w:hAnsi="宋体"/>
          <w:vertAlign w:val="subscript"/>
        </w:rPr>
        <w:t>0</w:t>
      </w:r>
      <w:r>
        <w:rPr>
          <w:rFonts w:hint="eastAsia" w:ascii="宋体" w:hAnsi="宋体"/>
        </w:rPr>
        <w:t>-</w:t>
      </w:r>
      <w:r>
        <w:rPr>
          <w:rFonts w:hint="eastAsia"/>
          <w:i/>
          <w:iCs/>
        </w:rPr>
        <w:t>V</w:t>
      </w:r>
      <w:r>
        <w:rPr>
          <w:rFonts w:hint="eastAsia" w:ascii="宋体" w:hAnsi="宋体"/>
          <w:vertAlign w:val="subscript"/>
        </w:rPr>
        <w:t>1</w:t>
      </w:r>
      <w:r>
        <w:rPr>
          <w:rFonts w:hint="eastAsia" w:ascii="宋体" w:hAnsi="宋体"/>
        </w:rPr>
        <w:t>）×0.22×100</w:t>
      </w:r>
    </w:p>
    <w:p>
      <w:pPr>
        <w:ind w:firstLine="636"/>
        <w:jc w:val="center"/>
        <w:rPr>
          <w:rFonts w:ascii="宋体" w:hAnsi="宋体"/>
        </w:rPr>
      </w:pPr>
      <w:r>
        <w:rPr>
          <w:rFonts w:hint="eastAsia"/>
          <w:i/>
          <w:iCs/>
        </w:rPr>
        <w:t>X</w:t>
      </w:r>
      <w:r>
        <w:rPr>
          <w:rFonts w:hint="eastAsia"/>
          <w:vertAlign w:val="subscript"/>
        </w:rPr>
        <w:t>3</w:t>
      </w:r>
      <w:r>
        <w:rPr>
          <w:rFonts w:hint="eastAsia" w:ascii="宋体" w:hAnsi="宋体"/>
        </w:rPr>
        <w:t xml:space="preserve">＝————————————……………………（3）            </w:t>
      </w:r>
    </w:p>
    <w:p>
      <w:pPr>
        <w:spacing w:line="320" w:lineRule="exact"/>
        <w:ind w:firstLine="420" w:firstLineChars="200"/>
        <w:rPr>
          <w:rFonts w:ascii="宋体" w:hAnsi="宋体"/>
        </w:rPr>
      </w:pPr>
      <w:r>
        <w:rPr>
          <w:rFonts w:hint="eastAsia" w:ascii="宋体" w:hAnsi="宋体"/>
        </w:rPr>
        <w:t xml:space="preserve">                                  m</w:t>
      </w:r>
    </w:p>
    <w:p>
      <w:pPr>
        <w:spacing w:line="320" w:lineRule="exact"/>
        <w:ind w:firstLine="420" w:firstLineChars="200"/>
        <w:rPr>
          <w:rFonts w:ascii="宋体" w:hAnsi="宋体"/>
          <w:vertAlign w:val="subscript"/>
        </w:rPr>
      </w:pPr>
      <w:r>
        <w:rPr>
          <w:rFonts w:hint="eastAsia" w:ascii="宋体" w:hAnsi="宋体"/>
        </w:rPr>
        <w:t>式中：</w:t>
      </w:r>
    </w:p>
    <w:p>
      <w:pPr>
        <w:spacing w:line="320" w:lineRule="exact"/>
      </w:pPr>
      <w:r>
        <w:rPr>
          <w:rFonts w:hint="eastAsia" w:ascii="宋体" w:hAnsi="宋体"/>
        </w:rPr>
        <w:t xml:space="preserve">    </w:t>
      </w:r>
      <w:r>
        <w:rPr>
          <w:rFonts w:ascii="宋体" w:hAnsi="宋体"/>
          <w:position w:val="-6"/>
        </w:rPr>
        <w:object>
          <v:shape id="_x0000_i1035" o:spt="75" type="#_x0000_t75" style="height:12pt;width:12pt;" o:ole="t" filled="f" o:preferrelative="t" stroked="f" coordsize="21600,21600">
            <v:path/>
            <v:fill on="f" focussize="0,0"/>
            <v:stroke on="f" joinstyle="miter"/>
            <v:imagedata r:id="rId29" o:title=""/>
            <o:lock v:ext="edit" aspectratio="t"/>
            <w10:wrap type="none"/>
            <w10:anchorlock/>
          </v:shape>
          <o:OLEObject Type="Embed" ProgID="Equation.3" ShapeID="_x0000_i1035" DrawAspect="Content" ObjectID="_1468075735" r:id="rId28">
            <o:LockedField>false</o:LockedField>
          </o:OLEObject>
        </w:object>
      </w:r>
      <w:r>
        <w:rPr>
          <w:rFonts w:hint="eastAsia"/>
        </w:rPr>
        <w:t>——</w:t>
      </w:r>
      <w:r>
        <w:rPr>
          <w:rFonts w:hint="eastAsia" w:ascii="宋体" w:hAnsi="宋体"/>
        </w:rPr>
        <w:t>盐酸标准溶液浓度，mol/L；</w:t>
      </w:r>
    </w:p>
    <w:p>
      <w:pPr>
        <w:spacing w:line="320" w:lineRule="exact"/>
        <w:ind w:firstLine="420" w:firstLineChars="200"/>
        <w:rPr>
          <w:rFonts w:ascii="宋体" w:hAnsi="宋体"/>
        </w:rPr>
      </w:pPr>
      <w:r>
        <w:rPr>
          <w:rFonts w:ascii="宋体" w:hAnsi="宋体"/>
          <w:position w:val="-12"/>
        </w:rPr>
        <w:object>
          <v:shape id="_x0000_i1036" o:spt="75" type="#_x0000_t75" style="height:18pt;width:12pt;" o:ole="t" filled="f" o:preferrelative="t" stroked="f" coordsize="21600,21600">
            <v:path/>
            <v:fill on="f" focussize="0,0"/>
            <v:stroke on="f" joinstyle="miter"/>
            <v:imagedata r:id="rId31" o:title=""/>
            <o:lock v:ext="edit" aspectratio="t"/>
            <w10:wrap type="none"/>
            <w10:anchorlock/>
          </v:shape>
          <o:OLEObject Type="Embed" ProgID="Equation.3" ShapeID="_x0000_i1036" DrawAspect="Content" ObjectID="_1468075736" r:id="rId30">
            <o:LockedField>false</o:LockedField>
          </o:OLEObject>
        </w:object>
      </w:r>
      <w:r>
        <w:rPr>
          <w:rFonts w:hint="eastAsia" w:ascii="宋体" w:hAnsi="宋体"/>
        </w:rPr>
        <w:t>——空白试验耗用盐酸-乙醇标准溶液体积，mL；</w:t>
      </w:r>
    </w:p>
    <w:p>
      <w:pPr>
        <w:spacing w:line="320" w:lineRule="exact"/>
        <w:ind w:firstLine="420" w:firstLineChars="200"/>
        <w:rPr>
          <w:rFonts w:ascii="宋体" w:hAnsi="宋体"/>
        </w:rPr>
      </w:pPr>
      <w:r>
        <w:rPr>
          <w:rFonts w:ascii="宋体" w:hAnsi="宋体"/>
          <w:position w:val="-10"/>
        </w:rPr>
        <w:object>
          <v:shape id="_x0000_i1037" o:spt="75" type="#_x0000_t75" style="height:18pt;width:12pt;" o:ole="t" filled="f" o:preferrelative="t" stroked="f" coordsize="21600,21600">
            <v:path/>
            <v:fill on="f" focussize="0,0"/>
            <v:stroke on="f" joinstyle="miter"/>
            <v:imagedata r:id="rId33" o:title=""/>
            <o:lock v:ext="edit" aspectratio="t"/>
            <w10:wrap type="none"/>
            <w10:anchorlock/>
          </v:shape>
          <o:OLEObject Type="Embed" ProgID="Equation.3" ShapeID="_x0000_i1037" DrawAspect="Content" ObjectID="_1468075737" r:id="rId32">
            <o:LockedField>false</o:LockedField>
          </o:OLEObject>
        </w:object>
      </w:r>
      <w:r>
        <w:rPr>
          <w:rFonts w:hint="eastAsia" w:ascii="宋体" w:hAnsi="宋体"/>
        </w:rPr>
        <w:t>——试样耗用盐酸-乙醇标准溶液体积，mL；</w:t>
      </w:r>
    </w:p>
    <w:p>
      <w:pPr>
        <w:spacing w:line="320" w:lineRule="exact"/>
        <w:ind w:firstLine="420"/>
        <w:rPr>
          <w:rFonts w:ascii="宋体" w:hAnsi="宋体"/>
        </w:rPr>
      </w:pPr>
      <w:r>
        <w:rPr>
          <w:rFonts w:ascii="宋体" w:hAnsi="宋体"/>
          <w:position w:val="-6"/>
        </w:rPr>
        <w:object>
          <v:shape id="_x0000_i1038" o:spt="75" type="#_x0000_t75" style="height:12pt;width:12pt;" o:ole="t" filled="f" o:preferrelative="t" stroked="f" coordsize="21600,21600">
            <v:path/>
            <v:fill on="f" focussize="0,0"/>
            <v:stroke on="f" joinstyle="miter"/>
            <v:imagedata r:id="rId35" o:title=""/>
            <o:lock v:ext="edit" aspectratio="t"/>
            <w10:wrap type="none"/>
            <w10:anchorlock/>
          </v:shape>
          <o:OLEObject Type="Embed" ProgID="Equation.3" ShapeID="_x0000_i1038" DrawAspect="Content" ObjectID="_1468075738" r:id="rId34">
            <o:LockedField>false</o:LockedField>
          </o:OLEObject>
        </w:object>
      </w:r>
      <w:r>
        <w:rPr>
          <w:rFonts w:hint="eastAsia" w:ascii="宋体" w:hAnsi="宋体"/>
        </w:rPr>
        <w:t>——试样质量，g；</w:t>
      </w:r>
    </w:p>
    <w:p>
      <w:pPr>
        <w:spacing w:line="320" w:lineRule="exact"/>
        <w:ind w:firstLine="210" w:firstLineChars="100"/>
        <w:rPr>
          <w:rFonts w:ascii="宋体" w:hAnsi="宋体"/>
        </w:rPr>
      </w:pPr>
      <w:r>
        <w:rPr>
          <w:rFonts w:ascii="宋体" w:hAnsi="宋体"/>
          <w:position w:val="-6"/>
        </w:rPr>
        <w:object>
          <v:shape id="_x0000_i1039" o:spt="75" type="#_x0000_t75" style="height:12pt;width:24pt;" o:ole="t" filled="f" o:preferrelative="t" stroked="f" coordsize="21600,21600">
            <v:path/>
            <v:fill on="f" focussize="0,0"/>
            <v:stroke on="f" joinstyle="miter"/>
            <v:imagedata r:id="rId37" o:title=""/>
            <o:lock v:ext="edit" aspectratio="t"/>
            <w10:wrap type="none"/>
            <w10:anchorlock/>
          </v:shape>
          <o:OLEObject Type="Embed" ProgID="Equation.3" ShapeID="_x0000_i1039" DrawAspect="Content" ObjectID="_1468075739" r:id="rId36">
            <o:LockedField>false</o:LockedField>
          </o:OLEObject>
        </w:object>
      </w:r>
      <w:r>
        <w:rPr>
          <w:rFonts w:hint="eastAsia" w:ascii="宋体" w:hAnsi="宋体"/>
        </w:rPr>
        <w:t>——椰油酸甲酯的毫摩尔质量，g/mmol。</w:t>
      </w:r>
    </w:p>
    <w:p>
      <w:pPr>
        <w:widowControl/>
        <w:numPr>
          <w:ilvl w:val="3"/>
          <w:numId w:val="0"/>
        </w:numPr>
        <w:jc w:val="left"/>
        <w:outlineLvl w:val="3"/>
        <w:rPr>
          <w:rFonts w:eastAsia="黑体"/>
          <w:kern w:val="0"/>
          <w:szCs w:val="20"/>
        </w:rPr>
      </w:pPr>
      <w:r>
        <w:rPr>
          <w:rFonts w:hint="eastAsia" w:eastAsia="黑体"/>
          <w:kern w:val="0"/>
          <w:szCs w:val="20"/>
        </w:rPr>
        <w:t>5.7.5 允许误差</w:t>
      </w:r>
    </w:p>
    <w:p>
      <w:pPr>
        <w:widowControl/>
        <w:numPr>
          <w:ilvl w:val="2"/>
          <w:numId w:val="0"/>
        </w:numPr>
        <w:ind w:firstLine="420" w:firstLineChars="200"/>
        <w:jc w:val="left"/>
        <w:outlineLvl w:val="2"/>
        <w:rPr>
          <w:rFonts w:ascii="宋体" w:hAnsi="宋体"/>
          <w:bCs/>
        </w:rPr>
      </w:pPr>
      <w:r>
        <w:rPr>
          <w:rFonts w:hint="eastAsia" w:ascii="宋体" w:hAnsi="宋体"/>
          <w:bCs/>
        </w:rPr>
        <w:t>两次平行测定结果之绝对误差不应超过0.5%。</w:t>
      </w:r>
    </w:p>
    <w:p>
      <w:pPr>
        <w:widowControl/>
        <w:numPr>
          <w:ilvl w:val="2"/>
          <w:numId w:val="0"/>
        </w:numPr>
        <w:jc w:val="left"/>
        <w:outlineLvl w:val="2"/>
        <w:rPr>
          <w:rFonts w:eastAsia="黑体"/>
          <w:kern w:val="0"/>
          <w:szCs w:val="20"/>
        </w:rPr>
      </w:pPr>
      <w:r>
        <w:rPr>
          <w:rFonts w:hint="eastAsia" w:eastAsia="黑体"/>
          <w:kern w:val="0"/>
          <w:szCs w:val="20"/>
        </w:rPr>
        <w:t>5.8 甘油的测定</w:t>
      </w:r>
    </w:p>
    <w:p>
      <w:pPr>
        <w:spacing w:line="320" w:lineRule="exact"/>
        <w:rPr>
          <w:rFonts w:ascii="宋体" w:hAnsi="宋体"/>
          <w:b/>
          <w:kern w:val="0"/>
          <w:szCs w:val="20"/>
        </w:rPr>
      </w:pPr>
      <w:r>
        <w:rPr>
          <w:rFonts w:hint="eastAsia" w:ascii="宋体" w:hAnsi="宋体"/>
          <w:b/>
          <w:kern w:val="0"/>
          <w:szCs w:val="20"/>
        </w:rPr>
        <w:t>5.8.1 试剂</w:t>
      </w:r>
    </w:p>
    <w:p>
      <w:pPr>
        <w:spacing w:line="320" w:lineRule="exact"/>
        <w:ind w:firstLine="420" w:firstLineChars="200"/>
        <w:rPr>
          <w:rFonts w:ascii="宋体" w:hAnsi="宋体"/>
          <w:kern w:val="0"/>
          <w:szCs w:val="20"/>
        </w:rPr>
      </w:pPr>
      <w:r>
        <w:rPr>
          <w:rFonts w:hint="eastAsia" w:ascii="宋体" w:hAnsi="宋体"/>
          <w:kern w:val="0"/>
          <w:szCs w:val="20"/>
        </w:rPr>
        <w:t>a) 冰醋酸；</w:t>
      </w:r>
    </w:p>
    <w:p>
      <w:pPr>
        <w:spacing w:line="320" w:lineRule="exact"/>
        <w:ind w:firstLine="420" w:firstLineChars="200"/>
        <w:rPr>
          <w:rFonts w:ascii="宋体" w:hAnsi="宋体"/>
          <w:kern w:val="0"/>
          <w:szCs w:val="20"/>
        </w:rPr>
      </w:pPr>
      <w:r>
        <w:rPr>
          <w:rFonts w:hint="eastAsia" w:ascii="宋体" w:hAnsi="宋体"/>
          <w:kern w:val="0"/>
          <w:szCs w:val="20"/>
        </w:rPr>
        <w:t>b) 高碘酸溶液：2.7g/L。称取2.7g高碘酸，加入50mL去离子水溶解后，再加入950mL冰醋酸，摇匀，储存于棕色试剂瓶中，保质期为1个月；</w:t>
      </w:r>
    </w:p>
    <w:p>
      <w:pPr>
        <w:spacing w:line="320" w:lineRule="exact"/>
        <w:ind w:firstLine="420" w:firstLineChars="200"/>
        <w:rPr>
          <w:rFonts w:ascii="宋体" w:hAnsi="宋体"/>
          <w:kern w:val="0"/>
          <w:szCs w:val="20"/>
        </w:rPr>
      </w:pPr>
      <w:r>
        <w:rPr>
          <w:rFonts w:hint="eastAsia" w:ascii="宋体" w:hAnsi="宋体"/>
          <w:kern w:val="0"/>
          <w:szCs w:val="20"/>
        </w:rPr>
        <w:t>c) 碘化钾溶液：10%水溶液；</w:t>
      </w:r>
    </w:p>
    <w:p>
      <w:pPr>
        <w:spacing w:line="320" w:lineRule="exact"/>
        <w:ind w:firstLine="420" w:firstLineChars="200"/>
        <w:rPr>
          <w:rFonts w:ascii="宋体" w:hAnsi="宋体"/>
          <w:kern w:val="0"/>
          <w:szCs w:val="20"/>
        </w:rPr>
      </w:pPr>
      <w:r>
        <w:rPr>
          <w:rFonts w:hint="eastAsia" w:ascii="宋体" w:hAnsi="宋体"/>
          <w:kern w:val="0"/>
          <w:szCs w:val="20"/>
        </w:rPr>
        <w:t>d) 硫代硫酸钠标准滴定溶液：c(Na2S2O3)=0.1mol/L；</w:t>
      </w:r>
    </w:p>
    <w:p>
      <w:pPr>
        <w:spacing w:line="320" w:lineRule="exact"/>
        <w:ind w:firstLine="420" w:firstLineChars="200"/>
        <w:rPr>
          <w:rFonts w:ascii="宋体" w:hAnsi="宋体"/>
          <w:kern w:val="0"/>
          <w:szCs w:val="20"/>
        </w:rPr>
      </w:pPr>
      <w:r>
        <w:rPr>
          <w:rFonts w:hint="eastAsia" w:ascii="宋体" w:hAnsi="宋体"/>
          <w:kern w:val="0"/>
          <w:szCs w:val="20"/>
        </w:rPr>
        <w:t>e) 淀粉指示剂：10g/L。</w:t>
      </w:r>
    </w:p>
    <w:p>
      <w:pPr>
        <w:spacing w:line="320" w:lineRule="exact"/>
        <w:rPr>
          <w:rFonts w:ascii="宋体" w:hAnsi="宋体"/>
          <w:b/>
          <w:kern w:val="0"/>
          <w:szCs w:val="20"/>
        </w:rPr>
      </w:pPr>
      <w:r>
        <w:rPr>
          <w:rFonts w:hint="eastAsia" w:ascii="宋体" w:hAnsi="宋体"/>
          <w:b/>
          <w:kern w:val="0"/>
          <w:szCs w:val="20"/>
        </w:rPr>
        <w:t>5.8.2 实验步骤</w:t>
      </w:r>
    </w:p>
    <w:p>
      <w:pPr>
        <w:spacing w:line="320" w:lineRule="exact"/>
        <w:ind w:firstLine="420" w:firstLineChars="200"/>
        <w:rPr>
          <w:rFonts w:ascii="宋体" w:hAnsi="宋体"/>
          <w:kern w:val="0"/>
          <w:szCs w:val="20"/>
        </w:rPr>
      </w:pPr>
      <w:r>
        <w:rPr>
          <w:rFonts w:hint="eastAsia" w:ascii="宋体" w:hAnsi="宋体"/>
          <w:kern w:val="0"/>
          <w:szCs w:val="20"/>
        </w:rPr>
        <w:t>称取一定量的样品（精确至0.0002g）于250mL的碘量瓶中，用50mL单标移液管加入50.00mL高碘酸溶液，摇匀溶解后，放置暗处1h。再加入20mL碘化钾溶液，轻轻摇动混合均匀，用少量水液封，于暗处静置3min。加入50mL去离子水，并用洗瓶将瓶盖和瓶壁上的单质碘冲洗到碘量瓶中，用硫代硫酸钠标准滴定溶液滴定至溶液呈淡黄色，加入2mL淀粉指示剂，继续滴定至溶液为无色即为终点，记录消耗的体积为V1。同样条件下做空白试验，记录消耗的体积为V0。</w:t>
      </w:r>
    </w:p>
    <w:p>
      <w:pPr>
        <w:spacing w:line="320" w:lineRule="exact"/>
        <w:rPr>
          <w:rFonts w:ascii="宋体" w:hAnsi="宋体"/>
          <w:kern w:val="0"/>
          <w:szCs w:val="20"/>
        </w:rPr>
      </w:pPr>
      <w:r>
        <w:rPr>
          <w:rFonts w:hint="eastAsia" w:ascii="宋体" w:hAnsi="宋体"/>
          <w:b/>
          <w:kern w:val="0"/>
          <w:szCs w:val="20"/>
        </w:rPr>
        <w:t>注意：消耗的体积比（V</w:t>
      </w:r>
      <w:r>
        <w:rPr>
          <w:rFonts w:hint="eastAsia" w:ascii="宋体" w:hAnsi="宋体"/>
          <w:b/>
          <w:kern w:val="0"/>
          <w:szCs w:val="20"/>
          <w:vertAlign w:val="subscript"/>
        </w:rPr>
        <w:t>1</w:t>
      </w:r>
      <w:r>
        <w:rPr>
          <w:rFonts w:hint="eastAsia" w:ascii="宋体" w:hAnsi="宋体"/>
          <w:b/>
          <w:kern w:val="0"/>
          <w:szCs w:val="20"/>
        </w:rPr>
        <w:t>:V</w:t>
      </w:r>
      <w:r>
        <w:rPr>
          <w:rFonts w:hint="eastAsia" w:ascii="宋体" w:hAnsi="宋体"/>
          <w:b/>
          <w:kern w:val="0"/>
          <w:szCs w:val="20"/>
          <w:vertAlign w:val="subscript"/>
        </w:rPr>
        <w:t>0</w:t>
      </w:r>
      <w:r>
        <w:rPr>
          <w:rFonts w:hint="eastAsia" w:ascii="宋体" w:hAnsi="宋体"/>
          <w:b/>
          <w:kern w:val="0"/>
          <w:szCs w:val="20"/>
        </w:rPr>
        <w:t>）必须大于0.75，否则需要减少称样量，重新测量</w:t>
      </w:r>
      <w:r>
        <w:rPr>
          <w:rFonts w:hint="eastAsia" w:ascii="宋体" w:hAnsi="宋体"/>
          <w:kern w:val="0"/>
          <w:szCs w:val="20"/>
        </w:rPr>
        <w:t>。</w:t>
      </w:r>
    </w:p>
    <w:p>
      <w:pPr>
        <w:spacing w:line="320" w:lineRule="exact"/>
        <w:rPr>
          <w:rFonts w:ascii="宋体" w:hAnsi="宋体"/>
          <w:b/>
          <w:kern w:val="0"/>
          <w:szCs w:val="20"/>
        </w:rPr>
      </w:pPr>
      <w:r>
        <w:rPr>
          <w:rFonts w:hint="eastAsia" w:ascii="宋体" w:hAnsi="宋体"/>
          <w:b/>
          <w:kern w:val="0"/>
          <w:szCs w:val="20"/>
        </w:rPr>
        <w:t>5.8.3 结果计算</w:t>
      </w:r>
    </w:p>
    <w:p>
      <w:pPr>
        <w:spacing w:line="320" w:lineRule="exact"/>
        <w:ind w:firstLine="420" w:firstLineChars="200"/>
        <w:rPr>
          <w:rFonts w:ascii="宋体" w:hAnsi="宋体"/>
          <w:kern w:val="0"/>
          <w:szCs w:val="20"/>
        </w:rPr>
      </w:pPr>
      <w:r>
        <w:rPr>
          <w:rFonts w:hint="eastAsia" w:ascii="宋体" w:hAnsi="宋体"/>
          <w:kern w:val="0"/>
          <w:szCs w:val="20"/>
        </w:rPr>
        <w:t>样品中的甘油含量X</w:t>
      </w:r>
      <w:r>
        <w:rPr>
          <w:rFonts w:hint="eastAsia" w:ascii="宋体" w:hAnsi="宋体"/>
          <w:kern w:val="0"/>
          <w:szCs w:val="20"/>
          <w:vertAlign w:val="subscript"/>
        </w:rPr>
        <w:t>4</w:t>
      </w:r>
      <w:r>
        <w:rPr>
          <w:rFonts w:hint="eastAsia" w:ascii="宋体" w:hAnsi="宋体"/>
          <w:kern w:val="0"/>
          <w:szCs w:val="20"/>
        </w:rPr>
        <w:t>以质量分数计，数值以%表示，按下式（4）计算：</w:t>
      </w:r>
    </w:p>
    <w:p>
      <w:pPr>
        <w:spacing w:line="320" w:lineRule="exact"/>
        <w:ind w:firstLine="420" w:firstLineChars="200"/>
        <w:rPr>
          <w:rFonts w:ascii="宋体" w:hAnsi="宋体"/>
          <w:kern w:val="0"/>
          <w:szCs w:val="20"/>
        </w:rPr>
      </w:pPr>
      <w:r>
        <w:rPr>
          <w:rFonts w:ascii="宋体" w:hAnsi="宋体"/>
          <w:kern w:val="0"/>
          <w:szCs w:val="20"/>
        </w:rPr>
        <w:pict>
          <v:shape id="对象 68" o:spid="_x0000_s1047" o:spt="75" type="#_x0000_t75" style="position:absolute;left:0pt;margin-left:166.4pt;margin-top:17.9pt;height:32.2pt;width:130.95pt;mso-wrap-distance-bottom:0pt;mso-wrap-distance-top:0pt;z-index:251665408;mso-width-relative:page;mso-height-relative:page;" o:ole="t" filled="f" o:preferrelative="t" stroked="f" coordsize="21600,21600">
            <v:path/>
            <v:fill on="f" focussize="0,0"/>
            <v:stroke on="f" joinstyle="miter"/>
            <v:imagedata r:id="rId39" o:title=""/>
            <o:lock v:ext="edit" aspectratio="t"/>
            <w10:wrap type="topAndBottom"/>
          </v:shape>
          <o:OLEObject Type="Embed" ProgID="Equation.3" ShapeID="对象 68" DrawAspect="Content" ObjectID="_1468075740" r:id="rId38">
            <o:LockedField>false</o:LockedField>
          </o:OLEObject>
        </w:pict>
      </w:r>
      <w:r>
        <w:rPr>
          <w:rFonts w:ascii="宋体" w:hAnsi="宋体"/>
          <w:kern w:val="0"/>
          <w:szCs w:val="20"/>
        </w:rPr>
        <w:t xml:space="preserve">                  </w:t>
      </w:r>
    </w:p>
    <w:p>
      <w:pPr>
        <w:spacing w:line="320" w:lineRule="exact"/>
        <w:ind w:firstLine="5985" w:firstLineChars="2850"/>
        <w:rPr>
          <w:rFonts w:ascii="宋体" w:hAnsi="宋体"/>
          <w:kern w:val="0"/>
          <w:szCs w:val="20"/>
        </w:rPr>
      </w:pPr>
      <w:r>
        <w:rPr>
          <w:rFonts w:hint="eastAsia" w:ascii="宋体" w:hAnsi="宋体"/>
          <w:kern w:val="0"/>
          <w:szCs w:val="20"/>
        </w:rPr>
        <w:t>……………………（4）</w:t>
      </w:r>
    </w:p>
    <w:p>
      <w:pPr>
        <w:spacing w:line="320" w:lineRule="exact"/>
        <w:ind w:firstLine="420" w:firstLineChars="200"/>
        <w:rPr>
          <w:rFonts w:ascii="宋体" w:hAnsi="宋体"/>
          <w:kern w:val="0"/>
          <w:szCs w:val="20"/>
        </w:rPr>
      </w:pPr>
      <w:r>
        <w:rPr>
          <w:rFonts w:hint="eastAsia" w:ascii="宋体" w:hAnsi="宋体"/>
          <w:kern w:val="0"/>
          <w:szCs w:val="20"/>
        </w:rPr>
        <w:t>式中：</w:t>
      </w:r>
    </w:p>
    <w:p>
      <w:pPr>
        <w:spacing w:line="320" w:lineRule="exact"/>
        <w:ind w:firstLine="735" w:firstLineChars="350"/>
        <w:rPr>
          <w:rFonts w:ascii="宋体" w:hAnsi="宋体"/>
          <w:kern w:val="0"/>
          <w:szCs w:val="20"/>
        </w:rPr>
      </w:pPr>
      <w:r>
        <w:rPr>
          <w:rFonts w:hint="eastAsia" w:ascii="宋体" w:hAnsi="宋体"/>
          <w:kern w:val="0"/>
          <w:szCs w:val="20"/>
        </w:rPr>
        <w:t>V</w:t>
      </w:r>
      <w:r>
        <w:rPr>
          <w:rFonts w:hint="eastAsia" w:ascii="宋体" w:hAnsi="宋体"/>
          <w:kern w:val="0"/>
          <w:szCs w:val="20"/>
          <w:vertAlign w:val="subscript"/>
        </w:rPr>
        <w:t>0</w:t>
      </w:r>
      <w:r>
        <w:rPr>
          <w:rFonts w:hint="eastAsia" w:ascii="宋体" w:hAnsi="宋体"/>
          <w:kern w:val="0"/>
          <w:szCs w:val="20"/>
        </w:rPr>
        <w:t>——滴定空白消耗硫代硫酸钠标准溶液的体积，mL；</w:t>
      </w:r>
    </w:p>
    <w:p>
      <w:pPr>
        <w:spacing w:line="320" w:lineRule="exact"/>
        <w:ind w:firstLine="735" w:firstLineChars="350"/>
        <w:rPr>
          <w:rFonts w:ascii="宋体" w:hAnsi="宋体"/>
          <w:kern w:val="0"/>
          <w:szCs w:val="20"/>
        </w:rPr>
      </w:pPr>
      <w:r>
        <w:rPr>
          <w:rFonts w:hint="eastAsia" w:ascii="宋体" w:hAnsi="宋体"/>
          <w:kern w:val="0"/>
          <w:szCs w:val="20"/>
        </w:rPr>
        <w:t>V</w:t>
      </w:r>
      <w:r>
        <w:rPr>
          <w:rFonts w:hint="eastAsia" w:ascii="宋体" w:hAnsi="宋体"/>
          <w:kern w:val="0"/>
          <w:szCs w:val="20"/>
          <w:vertAlign w:val="subscript"/>
        </w:rPr>
        <w:t>1</w:t>
      </w:r>
      <w:r>
        <w:rPr>
          <w:rFonts w:hint="eastAsia" w:ascii="宋体" w:hAnsi="宋体"/>
          <w:kern w:val="0"/>
          <w:szCs w:val="20"/>
        </w:rPr>
        <w:t>——滴定样品消耗硫代硫酸钠标准溶液的体积，mL；</w:t>
      </w:r>
    </w:p>
    <w:p>
      <w:pPr>
        <w:spacing w:line="320" w:lineRule="exact"/>
        <w:ind w:firstLine="735" w:firstLineChars="350"/>
        <w:rPr>
          <w:rFonts w:ascii="宋体" w:hAnsi="宋体"/>
          <w:kern w:val="0"/>
          <w:szCs w:val="20"/>
        </w:rPr>
      </w:pPr>
      <w:r>
        <w:rPr>
          <w:rFonts w:hint="eastAsia" w:ascii="宋体" w:hAnsi="宋体"/>
          <w:kern w:val="0"/>
          <w:szCs w:val="20"/>
        </w:rPr>
        <w:t>c——硫代硫酸钠标准溶液的准确浓度，mol/L；</w:t>
      </w:r>
    </w:p>
    <w:p>
      <w:pPr>
        <w:spacing w:line="320" w:lineRule="exact"/>
        <w:ind w:firstLine="735" w:firstLineChars="350"/>
        <w:rPr>
          <w:rFonts w:ascii="宋体" w:hAnsi="宋体"/>
          <w:kern w:val="0"/>
          <w:szCs w:val="20"/>
        </w:rPr>
      </w:pPr>
      <w:r>
        <w:rPr>
          <w:rFonts w:hint="eastAsia" w:ascii="宋体" w:hAnsi="宋体"/>
          <w:kern w:val="0"/>
          <w:szCs w:val="20"/>
        </w:rPr>
        <w:t>m——样品质量，g；</w:t>
      </w:r>
    </w:p>
    <w:p>
      <w:pPr>
        <w:spacing w:line="320" w:lineRule="exact"/>
        <w:ind w:firstLine="735" w:firstLineChars="350"/>
        <w:rPr>
          <w:rFonts w:ascii="宋体" w:hAnsi="宋体"/>
          <w:kern w:val="0"/>
          <w:szCs w:val="20"/>
        </w:rPr>
      </w:pPr>
      <w:r>
        <w:rPr>
          <w:rFonts w:hint="eastAsia" w:ascii="宋体" w:hAnsi="宋体"/>
          <w:kern w:val="0"/>
          <w:szCs w:val="20"/>
        </w:rPr>
        <w:t>2.3——换算系数。</w:t>
      </w:r>
    </w:p>
    <w:p>
      <w:pPr>
        <w:spacing w:line="320" w:lineRule="exact"/>
        <w:rPr>
          <w:rFonts w:ascii="宋体" w:hAnsi="宋体"/>
          <w:b/>
          <w:kern w:val="0"/>
          <w:szCs w:val="20"/>
        </w:rPr>
      </w:pPr>
      <w:r>
        <w:rPr>
          <w:rFonts w:hint="eastAsia" w:ascii="宋体" w:hAnsi="宋体"/>
          <w:b/>
          <w:kern w:val="0"/>
          <w:szCs w:val="20"/>
        </w:rPr>
        <w:t>5.8.4 允许误差</w:t>
      </w:r>
    </w:p>
    <w:p>
      <w:pPr>
        <w:spacing w:line="320" w:lineRule="exact"/>
        <w:ind w:firstLine="420" w:firstLineChars="200"/>
        <w:rPr>
          <w:rFonts w:ascii="宋体" w:hAnsi="宋体"/>
          <w:kern w:val="0"/>
          <w:szCs w:val="20"/>
        </w:rPr>
      </w:pPr>
      <w:r>
        <w:rPr>
          <w:rFonts w:hint="eastAsia" w:ascii="宋体" w:hAnsi="宋体"/>
          <w:kern w:val="0"/>
          <w:szCs w:val="20"/>
        </w:rPr>
        <w:t>在重复性条件下获得的两次独立测试结果的绝对差值不大于0.40%。</w:t>
      </w:r>
    </w:p>
    <w:p>
      <w:pPr>
        <w:spacing w:line="320" w:lineRule="exact"/>
        <w:rPr>
          <w:rFonts w:ascii="宋体" w:hAnsi="宋体"/>
          <w:b/>
          <w:kern w:val="0"/>
          <w:szCs w:val="20"/>
        </w:rPr>
      </w:pPr>
      <w:r>
        <w:rPr>
          <w:rFonts w:hint="eastAsia" w:ascii="宋体" w:hAnsi="宋体"/>
          <w:b/>
          <w:kern w:val="0"/>
          <w:szCs w:val="20"/>
        </w:rPr>
        <w:t>5.9 水分及挥发物的测定</w:t>
      </w:r>
    </w:p>
    <w:p>
      <w:pPr>
        <w:spacing w:line="320" w:lineRule="exact"/>
        <w:rPr>
          <w:rFonts w:ascii="黑体" w:hAnsi="黑体" w:eastAsia="黑体"/>
          <w:kern w:val="0"/>
          <w:szCs w:val="20"/>
        </w:rPr>
      </w:pPr>
      <w:r>
        <w:rPr>
          <w:rFonts w:hint="eastAsia" w:ascii="黑体" w:hAnsi="黑体" w:eastAsia="黑体"/>
          <w:kern w:val="0"/>
          <w:szCs w:val="20"/>
        </w:rPr>
        <w:t>5.9.1 仪器</w:t>
      </w:r>
    </w:p>
    <w:p>
      <w:pPr>
        <w:spacing w:line="320" w:lineRule="exact"/>
        <w:ind w:firstLine="210" w:firstLineChars="100"/>
        <w:rPr>
          <w:rFonts w:ascii="宋体" w:hAnsi="宋体"/>
          <w:kern w:val="0"/>
          <w:szCs w:val="20"/>
        </w:rPr>
      </w:pPr>
      <w:r>
        <w:rPr>
          <w:rFonts w:hint="eastAsia" w:ascii="宋体" w:hAnsi="宋体"/>
          <w:kern w:val="0"/>
          <w:szCs w:val="20"/>
        </w:rPr>
        <w:t>a) 温度计：精度0.2℃；</w:t>
      </w:r>
    </w:p>
    <w:p>
      <w:pPr>
        <w:spacing w:line="320" w:lineRule="exact"/>
        <w:ind w:firstLine="210" w:firstLineChars="100"/>
        <w:rPr>
          <w:rFonts w:ascii="宋体" w:hAnsi="宋体"/>
          <w:kern w:val="0"/>
          <w:szCs w:val="20"/>
        </w:rPr>
      </w:pPr>
      <w:r>
        <w:rPr>
          <w:rFonts w:hint="eastAsia" w:ascii="宋体" w:hAnsi="宋体"/>
          <w:kern w:val="0"/>
          <w:szCs w:val="20"/>
        </w:rPr>
        <w:t>b）恒温干燥箱：灵敏度±2℃；</w:t>
      </w:r>
    </w:p>
    <w:p>
      <w:pPr>
        <w:spacing w:line="320" w:lineRule="exact"/>
        <w:ind w:firstLine="210" w:firstLineChars="100"/>
        <w:rPr>
          <w:rFonts w:ascii="宋体" w:hAnsi="宋体"/>
          <w:kern w:val="0"/>
          <w:szCs w:val="20"/>
        </w:rPr>
      </w:pPr>
      <w:r>
        <w:rPr>
          <w:rFonts w:hint="eastAsia" w:ascii="宋体" w:hAnsi="宋体"/>
          <w:kern w:val="0"/>
          <w:szCs w:val="20"/>
        </w:rPr>
        <w:t>c) 分析天平：精度0.0002g；</w:t>
      </w:r>
    </w:p>
    <w:p>
      <w:pPr>
        <w:spacing w:line="320" w:lineRule="exact"/>
        <w:ind w:firstLine="210" w:firstLineChars="100"/>
        <w:rPr>
          <w:rFonts w:ascii="宋体" w:hAnsi="宋体"/>
          <w:kern w:val="0"/>
          <w:szCs w:val="20"/>
        </w:rPr>
      </w:pPr>
      <w:r>
        <w:rPr>
          <w:rFonts w:hint="eastAsia" w:ascii="宋体" w:hAnsi="宋体"/>
          <w:kern w:val="0"/>
          <w:szCs w:val="20"/>
        </w:rPr>
        <w:t>d) 称量瓶：35mm×25mm。</w:t>
      </w:r>
    </w:p>
    <w:p>
      <w:pPr>
        <w:spacing w:line="320" w:lineRule="exact"/>
        <w:rPr>
          <w:rFonts w:ascii="黑体" w:hAnsi="黑体" w:eastAsia="黑体"/>
          <w:kern w:val="0"/>
          <w:szCs w:val="20"/>
        </w:rPr>
      </w:pPr>
      <w:r>
        <w:rPr>
          <w:rFonts w:hint="eastAsia" w:ascii="黑体" w:hAnsi="黑体" w:eastAsia="黑体"/>
          <w:kern w:val="0"/>
          <w:szCs w:val="20"/>
        </w:rPr>
        <w:t>5.9.2  试验步骤</w:t>
      </w:r>
    </w:p>
    <w:p>
      <w:pPr>
        <w:spacing w:line="320" w:lineRule="exact"/>
        <w:rPr>
          <w:rFonts w:ascii="宋体" w:hAnsi="宋体"/>
          <w:kern w:val="0"/>
          <w:szCs w:val="20"/>
        </w:rPr>
      </w:pPr>
      <w:r>
        <w:rPr>
          <w:rFonts w:hint="eastAsia" w:ascii="黑体" w:hAnsi="黑体" w:eastAsia="黑体"/>
          <w:kern w:val="0"/>
          <w:szCs w:val="20"/>
        </w:rPr>
        <w:t xml:space="preserve">    </w:t>
      </w:r>
      <w:r>
        <w:rPr>
          <w:rFonts w:hint="eastAsia" w:ascii="宋体" w:hAnsi="宋体"/>
          <w:kern w:val="0"/>
          <w:szCs w:val="20"/>
        </w:rPr>
        <w:t>在已恒重的称量瓶中称取1-2g试样（精确至0.0002g）放入（105±2）℃恒温干燥箱中，3h后取出放入干燥器中，冷却至室温，称量。</w:t>
      </w:r>
    </w:p>
    <w:p>
      <w:pPr>
        <w:spacing w:line="320" w:lineRule="exact"/>
        <w:rPr>
          <w:rFonts w:ascii="黑体" w:hAnsi="黑体" w:eastAsia="黑体"/>
          <w:kern w:val="0"/>
          <w:szCs w:val="20"/>
        </w:rPr>
      </w:pPr>
      <w:r>
        <w:rPr>
          <w:rFonts w:hint="eastAsia" w:ascii="黑体" w:hAnsi="黑体" w:eastAsia="黑体"/>
          <w:kern w:val="0"/>
          <w:szCs w:val="20"/>
        </w:rPr>
        <w:t>5.9.3  计算</w:t>
      </w:r>
    </w:p>
    <w:p>
      <w:pPr>
        <w:spacing w:line="320" w:lineRule="exact"/>
        <w:ind w:firstLine="420" w:firstLineChars="200"/>
        <w:rPr>
          <w:rFonts w:ascii="黑体" w:hAnsi="黑体" w:eastAsia="黑体"/>
          <w:kern w:val="0"/>
          <w:szCs w:val="20"/>
        </w:rPr>
      </w:pPr>
      <w:r>
        <w:rPr>
          <w:rFonts w:hint="eastAsia" w:ascii="宋体" w:hAnsi="宋体"/>
          <w:kern w:val="0"/>
          <w:szCs w:val="20"/>
        </w:rPr>
        <w:t>水分及挥发物的含量以X</w:t>
      </w:r>
      <w:r>
        <w:rPr>
          <w:rFonts w:hint="eastAsia" w:ascii="宋体" w:hAnsi="宋体"/>
          <w:kern w:val="0"/>
          <w:szCs w:val="20"/>
          <w:vertAlign w:val="subscript"/>
        </w:rPr>
        <w:t>5</w:t>
      </w:r>
      <w:r>
        <w:rPr>
          <w:rFonts w:hint="eastAsia" w:ascii="宋体" w:hAnsi="宋体"/>
          <w:kern w:val="0"/>
          <w:szCs w:val="20"/>
        </w:rPr>
        <w:t>表示，按式（5）计算</w:t>
      </w:r>
      <w:r>
        <w:rPr>
          <w:rFonts w:hint="eastAsia" w:ascii="黑体" w:hAnsi="黑体" w:eastAsia="黑体"/>
          <w:kern w:val="0"/>
          <w:szCs w:val="20"/>
        </w:rPr>
        <w:t>。</w:t>
      </w:r>
    </w:p>
    <w:p>
      <w:pPr>
        <w:spacing w:line="320" w:lineRule="exact"/>
        <w:rPr>
          <w:rFonts w:ascii="黑体" w:hAnsi="黑体" w:eastAsia="黑体"/>
          <w:kern w:val="0"/>
          <w:szCs w:val="20"/>
        </w:rPr>
      </w:pPr>
      <w:r>
        <w:rPr>
          <w:rFonts w:ascii="黑体" w:hAnsi="黑体" w:eastAsia="黑体"/>
          <w:kern w:val="0"/>
          <w:szCs w:val="20"/>
        </w:rPr>
        <w:t xml:space="preserve">  </w:t>
      </w:r>
      <w:r>
        <w:rPr>
          <w:rFonts w:hint="eastAsia" w:ascii="黑体" w:hAnsi="黑体" w:eastAsia="黑体"/>
          <w:kern w:val="0"/>
          <w:szCs w:val="20"/>
        </w:rPr>
        <w:t xml:space="preserve">                                   m - </w:t>
      </w:r>
      <w:r>
        <w:rPr>
          <w:rFonts w:ascii="黑体" w:hAnsi="黑体" w:eastAsia="黑体"/>
          <w:kern w:val="0"/>
          <w:szCs w:val="20"/>
        </w:rPr>
        <w:t>m</w:t>
      </w:r>
      <w:r>
        <w:rPr>
          <w:rFonts w:ascii="黑体" w:hAnsi="黑体" w:eastAsia="黑体"/>
          <w:kern w:val="0"/>
          <w:szCs w:val="20"/>
          <w:vertAlign w:val="subscript"/>
        </w:rPr>
        <w:t>1</w:t>
      </w:r>
    </w:p>
    <w:p>
      <w:pPr>
        <w:spacing w:line="320" w:lineRule="exact"/>
        <w:rPr>
          <w:rFonts w:ascii="黑体" w:hAnsi="黑体" w:eastAsia="黑体"/>
          <w:kern w:val="0"/>
          <w:szCs w:val="20"/>
        </w:rPr>
      </w:pPr>
      <w:r>
        <w:rPr>
          <w:rFonts w:hint="eastAsia" w:ascii="黑体" w:hAnsi="黑体" w:eastAsia="黑体"/>
          <w:kern w:val="0"/>
          <w:szCs w:val="20"/>
        </w:rPr>
        <w:t xml:space="preserve">                                X</w:t>
      </w:r>
      <w:r>
        <w:rPr>
          <w:rFonts w:hint="eastAsia" w:ascii="黑体" w:hAnsi="黑体" w:eastAsia="黑体"/>
          <w:kern w:val="0"/>
          <w:szCs w:val="20"/>
          <w:vertAlign w:val="subscript"/>
        </w:rPr>
        <w:t>5</w:t>
      </w:r>
      <w:r>
        <w:rPr>
          <w:rFonts w:hint="eastAsia" w:ascii="黑体" w:hAnsi="黑体" w:eastAsia="黑体"/>
          <w:kern w:val="0"/>
          <w:szCs w:val="20"/>
        </w:rPr>
        <w:t>＝———×100    …………………………………（5）</w:t>
      </w:r>
    </w:p>
    <w:p>
      <w:pPr>
        <w:spacing w:line="320" w:lineRule="exact"/>
        <w:ind w:firstLine="3990" w:firstLineChars="1900"/>
        <w:rPr>
          <w:rFonts w:ascii="黑体" w:hAnsi="黑体" w:eastAsia="黑体"/>
          <w:kern w:val="0"/>
          <w:szCs w:val="20"/>
        </w:rPr>
      </w:pPr>
      <w:r>
        <w:rPr>
          <w:rFonts w:ascii="黑体" w:hAnsi="黑体" w:eastAsia="黑体"/>
          <w:kern w:val="0"/>
          <w:szCs w:val="20"/>
        </w:rPr>
        <w:t>m</w:t>
      </w:r>
    </w:p>
    <w:p>
      <w:pPr>
        <w:spacing w:line="320" w:lineRule="exact"/>
        <w:rPr>
          <w:rFonts w:ascii="宋体" w:hAnsi="宋体"/>
          <w:kern w:val="0"/>
          <w:szCs w:val="20"/>
        </w:rPr>
      </w:pPr>
      <w:r>
        <w:rPr>
          <w:rFonts w:hint="eastAsia" w:ascii="宋体" w:hAnsi="宋体"/>
          <w:kern w:val="0"/>
          <w:szCs w:val="20"/>
        </w:rPr>
        <w:t>式中：</w:t>
      </w:r>
    </w:p>
    <w:p>
      <w:pPr>
        <w:spacing w:line="320" w:lineRule="exact"/>
        <w:rPr>
          <w:rFonts w:ascii="宋体" w:hAnsi="宋体"/>
          <w:kern w:val="0"/>
          <w:szCs w:val="20"/>
        </w:rPr>
      </w:pPr>
      <w:r>
        <w:rPr>
          <w:rFonts w:hint="eastAsia" w:ascii="宋体" w:hAnsi="宋体"/>
          <w:kern w:val="0"/>
          <w:szCs w:val="20"/>
        </w:rPr>
        <w:t xml:space="preserve">    m</w:t>
      </w:r>
      <w:r>
        <w:rPr>
          <w:rFonts w:hint="eastAsia" w:ascii="宋体" w:hAnsi="宋体"/>
          <w:kern w:val="0"/>
          <w:szCs w:val="20"/>
          <w:vertAlign w:val="subscript"/>
        </w:rPr>
        <w:t>1</w:t>
      </w:r>
      <w:r>
        <w:rPr>
          <w:rFonts w:hint="eastAsia" w:ascii="宋体" w:hAnsi="宋体"/>
          <w:kern w:val="0"/>
          <w:szCs w:val="20"/>
        </w:rPr>
        <w:t>——试样烘干后的质量，g；</w:t>
      </w:r>
    </w:p>
    <w:p>
      <w:pPr>
        <w:spacing w:line="320" w:lineRule="exact"/>
        <w:rPr>
          <w:rFonts w:ascii="宋体" w:hAnsi="宋体"/>
          <w:kern w:val="0"/>
          <w:szCs w:val="20"/>
        </w:rPr>
      </w:pPr>
      <w:r>
        <w:rPr>
          <w:rFonts w:hint="eastAsia" w:ascii="宋体" w:hAnsi="宋体"/>
          <w:kern w:val="0"/>
          <w:szCs w:val="20"/>
        </w:rPr>
        <w:t xml:space="preserve">    m——试样质量，g。</w:t>
      </w:r>
    </w:p>
    <w:p>
      <w:pPr>
        <w:spacing w:line="320" w:lineRule="exact"/>
        <w:rPr>
          <w:rFonts w:ascii="宋体" w:hAnsi="宋体"/>
          <w:kern w:val="0"/>
          <w:szCs w:val="20"/>
        </w:rPr>
      </w:pPr>
      <w:r>
        <w:rPr>
          <w:rFonts w:hint="eastAsia" w:ascii="宋体" w:hAnsi="宋体"/>
          <w:kern w:val="0"/>
          <w:szCs w:val="20"/>
        </w:rPr>
        <w:t>5.9.4  允许误差</w:t>
      </w:r>
    </w:p>
    <w:p>
      <w:pPr>
        <w:spacing w:line="320" w:lineRule="exact"/>
        <w:ind w:firstLine="420" w:firstLineChars="200"/>
        <w:rPr>
          <w:rFonts w:ascii="黑体" w:hAnsi="黑体" w:eastAsia="黑体"/>
          <w:kern w:val="0"/>
          <w:szCs w:val="20"/>
        </w:rPr>
      </w:pPr>
      <w:r>
        <w:rPr>
          <w:rFonts w:hint="eastAsia" w:ascii="宋体" w:hAnsi="宋体"/>
          <w:kern w:val="0"/>
          <w:szCs w:val="20"/>
        </w:rPr>
        <w:t>两次平行测定结果之绝对误差不大于0.2</w:t>
      </w:r>
      <w:r>
        <w:rPr>
          <w:rFonts w:hint="eastAsia" w:ascii="黑体" w:hAnsi="黑体" w:eastAsia="黑体"/>
          <w:kern w:val="0"/>
          <w:szCs w:val="20"/>
        </w:rPr>
        <w:t>。</w:t>
      </w:r>
    </w:p>
    <w:p>
      <w:pPr>
        <w:widowControl/>
        <w:jc w:val="left"/>
        <w:outlineLvl w:val="2"/>
        <w:rPr>
          <w:rFonts w:eastAsia="黑体"/>
          <w:kern w:val="0"/>
          <w:szCs w:val="20"/>
        </w:rPr>
      </w:pPr>
      <w:r>
        <w:rPr>
          <w:rFonts w:hint="eastAsia" w:eastAsia="黑体"/>
          <w:kern w:val="0"/>
          <w:szCs w:val="20"/>
        </w:rPr>
        <w:t>5.10  酰胺的测定</w:t>
      </w:r>
    </w:p>
    <w:p>
      <w:pPr>
        <w:widowControl/>
        <w:jc w:val="left"/>
        <w:outlineLvl w:val="3"/>
        <w:rPr>
          <w:rFonts w:eastAsia="黑体"/>
          <w:kern w:val="0"/>
          <w:szCs w:val="20"/>
        </w:rPr>
      </w:pPr>
      <w:r>
        <w:rPr>
          <w:rFonts w:hint="eastAsia" w:eastAsia="黑体"/>
          <w:kern w:val="0"/>
          <w:szCs w:val="20"/>
        </w:rPr>
        <w:t>5.10.1方法提要</w:t>
      </w:r>
    </w:p>
    <w:p>
      <w:pPr>
        <w:spacing w:line="320" w:lineRule="exact"/>
        <w:ind w:firstLine="420" w:firstLineChars="200"/>
        <w:rPr>
          <w:rFonts w:ascii="宋体" w:hAnsi="宋体"/>
        </w:rPr>
      </w:pPr>
      <w:r>
        <w:rPr>
          <w:rFonts w:hint="eastAsia" w:ascii="宋体" w:hAnsi="宋体"/>
        </w:rPr>
        <w:t>椰油酰胺MEA的酰胺含量由100%减去杂质(残余胺，甲酯，甘油，水分及挥发物)。</w:t>
      </w:r>
    </w:p>
    <w:p>
      <w:pPr>
        <w:widowControl/>
        <w:jc w:val="left"/>
        <w:outlineLvl w:val="3"/>
        <w:rPr>
          <w:rFonts w:eastAsia="黑体"/>
          <w:kern w:val="0"/>
          <w:szCs w:val="20"/>
        </w:rPr>
      </w:pPr>
      <w:r>
        <w:rPr>
          <w:rFonts w:hint="eastAsia" w:eastAsia="黑体"/>
          <w:kern w:val="0"/>
          <w:szCs w:val="20"/>
        </w:rPr>
        <w:t>5.10.2结果计算</w:t>
      </w:r>
    </w:p>
    <w:p>
      <w:pPr>
        <w:spacing w:line="320" w:lineRule="exact"/>
        <w:ind w:firstLine="420" w:firstLineChars="200"/>
        <w:rPr>
          <w:rFonts w:ascii="宋体" w:hAnsi="宋体"/>
        </w:rPr>
      </w:pPr>
      <w:r>
        <w:rPr>
          <w:rFonts w:hint="eastAsia" w:ascii="宋体" w:hAnsi="宋体"/>
        </w:rPr>
        <w:t>CMEA-A活性物的质量分数以X</w:t>
      </w:r>
      <w:r>
        <w:rPr>
          <w:rFonts w:hint="eastAsia" w:ascii="宋体" w:hAnsi="宋体"/>
          <w:vertAlign w:val="subscript"/>
        </w:rPr>
        <w:t>5</w:t>
      </w:r>
      <w:r>
        <w:rPr>
          <w:rFonts w:hint="eastAsia" w:ascii="宋体" w:hAnsi="宋体"/>
        </w:rPr>
        <w:t>计，数值以%表示，按式（6）计算：</w:t>
      </w:r>
    </w:p>
    <w:p>
      <w:pPr>
        <w:ind w:firstLine="636"/>
        <w:rPr>
          <w:rFonts w:ascii="宋体" w:hAnsi="宋体"/>
        </w:rPr>
      </w:pPr>
      <w:r>
        <w:rPr>
          <w:rFonts w:hint="eastAsia" w:ascii="宋体" w:hAnsi="宋体"/>
        </w:rPr>
        <w:t xml:space="preserve">                                       </w:t>
      </w:r>
      <w:r>
        <w:rPr>
          <w:rFonts w:hint="eastAsia" w:ascii="宋体" w:cs="宋体"/>
        </w:rPr>
        <w:t>X</w:t>
      </w:r>
      <w:r>
        <w:rPr>
          <w:rFonts w:hint="eastAsia" w:ascii="宋体" w:cs="宋体"/>
          <w:vertAlign w:val="subscript"/>
        </w:rPr>
        <w:t>6</w:t>
      </w:r>
      <w:r>
        <w:rPr>
          <w:rFonts w:hint="eastAsia" w:ascii="宋体" w:cs="宋体"/>
        </w:rPr>
        <w:t>=100-X</w:t>
      </w:r>
      <w:r>
        <w:rPr>
          <w:rFonts w:hint="eastAsia" w:ascii="宋体" w:cs="宋体"/>
          <w:vertAlign w:val="subscript"/>
        </w:rPr>
        <w:t>2</w:t>
      </w:r>
      <w:r>
        <w:rPr>
          <w:rFonts w:hint="eastAsia" w:ascii="宋体" w:cs="宋体"/>
        </w:rPr>
        <w:t>-X</w:t>
      </w:r>
      <w:r>
        <w:rPr>
          <w:rFonts w:hint="eastAsia" w:ascii="宋体" w:cs="宋体"/>
          <w:vertAlign w:val="subscript"/>
          <w:lang w:val="en-US" w:eastAsia="zh-CN"/>
        </w:rPr>
        <w:t>3</w:t>
      </w:r>
      <w:r>
        <w:rPr>
          <w:rFonts w:hint="eastAsia" w:ascii="宋体" w:cs="宋体"/>
        </w:rPr>
        <w:t>-X</w:t>
      </w:r>
      <w:r>
        <w:rPr>
          <w:rFonts w:hint="eastAsia" w:ascii="宋体" w:cs="宋体"/>
          <w:vertAlign w:val="subscript"/>
        </w:rPr>
        <w:t>5</w:t>
      </w:r>
      <w:r>
        <w:rPr>
          <w:rFonts w:hint="eastAsia" w:ascii="宋体" w:hAnsi="宋体"/>
        </w:rPr>
        <w:t>……………………………………（6）</w:t>
      </w:r>
    </w:p>
    <w:p>
      <w:pPr>
        <w:spacing w:line="320" w:lineRule="exact"/>
        <w:ind w:firstLine="420" w:firstLineChars="200"/>
        <w:rPr>
          <w:rFonts w:ascii="宋体" w:hAnsi="宋体"/>
        </w:rPr>
      </w:pPr>
      <w:r>
        <w:rPr>
          <w:rFonts w:hint="eastAsia" w:ascii="宋体" w:hAnsi="宋体"/>
        </w:rPr>
        <w:t>CMEA-B活性物的质量分数以X</w:t>
      </w:r>
      <w:r>
        <w:rPr>
          <w:rFonts w:hint="eastAsia" w:ascii="宋体" w:hAnsi="宋体"/>
          <w:vertAlign w:val="subscript"/>
        </w:rPr>
        <w:t>7</w:t>
      </w:r>
      <w:r>
        <w:rPr>
          <w:rFonts w:hint="eastAsia" w:ascii="宋体" w:hAnsi="宋体"/>
        </w:rPr>
        <w:t>计，数值以%表示，按式（7）计算：</w:t>
      </w:r>
    </w:p>
    <w:p>
      <w:pPr>
        <w:ind w:firstLine="636"/>
        <w:rPr>
          <w:rFonts w:ascii="宋体" w:hAnsi="宋体"/>
        </w:rPr>
      </w:pPr>
      <w:r>
        <w:rPr>
          <w:rFonts w:hint="eastAsia" w:ascii="宋体" w:hAnsi="宋体"/>
        </w:rPr>
        <w:t xml:space="preserve">                                      </w:t>
      </w:r>
      <w:r>
        <w:rPr>
          <w:rFonts w:hint="eastAsia" w:ascii="宋体" w:cs="宋体"/>
        </w:rPr>
        <w:t>X</w:t>
      </w:r>
      <w:r>
        <w:rPr>
          <w:rFonts w:hint="eastAsia" w:ascii="宋体" w:cs="宋体"/>
          <w:vertAlign w:val="subscript"/>
        </w:rPr>
        <w:t>7</w:t>
      </w:r>
      <w:r>
        <w:rPr>
          <w:rFonts w:hint="eastAsia" w:ascii="宋体" w:cs="宋体"/>
        </w:rPr>
        <w:t>=100-X</w:t>
      </w:r>
      <w:r>
        <w:rPr>
          <w:rFonts w:hint="eastAsia" w:ascii="宋体" w:cs="宋体"/>
          <w:vertAlign w:val="subscript"/>
        </w:rPr>
        <w:t>2</w:t>
      </w:r>
      <w:r>
        <w:rPr>
          <w:rFonts w:hint="eastAsia" w:ascii="宋体" w:cs="宋体"/>
        </w:rPr>
        <w:t>-</w:t>
      </w:r>
      <w:r>
        <w:rPr>
          <w:rFonts w:hint="eastAsia" w:ascii="宋体" w:cs="宋体"/>
          <w:lang w:val="en-US" w:eastAsia="zh-CN"/>
        </w:rPr>
        <w:t>X</w:t>
      </w:r>
      <w:r>
        <w:rPr>
          <w:rFonts w:hint="eastAsia" w:ascii="宋体" w:cs="宋体"/>
          <w:vertAlign w:val="subscript"/>
          <w:lang w:val="en-US" w:eastAsia="zh-CN"/>
        </w:rPr>
        <w:t>4</w:t>
      </w:r>
      <w:r>
        <w:rPr>
          <w:rFonts w:hint="eastAsia" w:ascii="宋体" w:cs="宋体"/>
          <w:lang w:val="en-US" w:eastAsia="zh-CN"/>
        </w:rPr>
        <w:t>-</w:t>
      </w:r>
      <w:r>
        <w:rPr>
          <w:rFonts w:hint="eastAsia" w:ascii="宋体" w:cs="宋体"/>
        </w:rPr>
        <w:t>X</w:t>
      </w:r>
      <w:r>
        <w:rPr>
          <w:rFonts w:hint="eastAsia" w:ascii="宋体" w:cs="宋体"/>
          <w:vertAlign w:val="subscript"/>
        </w:rPr>
        <w:t>5</w:t>
      </w:r>
      <w:r>
        <w:rPr>
          <w:rFonts w:hint="eastAsia" w:ascii="宋体" w:hAnsi="宋体"/>
        </w:rPr>
        <w:t>……………………………………（7）</w:t>
      </w:r>
    </w:p>
    <w:p>
      <w:pPr>
        <w:spacing w:line="320" w:lineRule="exact"/>
        <w:ind w:firstLine="420" w:firstLineChars="200"/>
        <w:rPr>
          <w:rFonts w:ascii="宋体" w:hAnsi="宋体"/>
          <w:vertAlign w:val="subscript"/>
        </w:rPr>
      </w:pPr>
      <w:r>
        <w:rPr>
          <w:rFonts w:hint="eastAsia" w:ascii="宋体" w:hAnsi="宋体"/>
        </w:rPr>
        <w:t>式中：</w:t>
      </w:r>
    </w:p>
    <w:p>
      <w:pPr>
        <w:spacing w:line="320" w:lineRule="exact"/>
        <w:rPr>
          <w:rFonts w:ascii="宋体" w:hAnsi="宋体"/>
        </w:rPr>
      </w:pPr>
      <w:r>
        <w:rPr>
          <w:rFonts w:hint="eastAsia" w:ascii="宋体" w:hAnsi="宋体"/>
        </w:rPr>
        <w:t xml:space="preserve">    </w:t>
      </w:r>
      <w:r>
        <w:rPr>
          <w:rFonts w:ascii="宋体" w:hAnsi="宋体"/>
          <w:position w:val="-10"/>
        </w:rPr>
        <w:object>
          <v:shape id="_x0000_i1040" o:spt="75" type="#_x0000_t75" style="height:18pt;width:18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1" r:id="rId40">
            <o:LockedField>false</o:LockedField>
          </o:OLEObject>
        </w:object>
      </w:r>
      <w:r>
        <w:rPr>
          <w:rFonts w:hint="eastAsia" w:ascii="宋体" w:hAnsi="宋体"/>
        </w:rPr>
        <w:t>——</w:t>
      </w:r>
      <w:r>
        <w:rPr>
          <w:rFonts w:hint="eastAsia" w:ascii="宋体" w:hAnsi="宋体"/>
          <w:lang w:eastAsia="zh-CN"/>
        </w:rPr>
        <w:t>残余</w:t>
      </w:r>
      <w:r>
        <w:rPr>
          <w:rFonts w:hint="eastAsia" w:ascii="宋体" w:hAnsi="宋体"/>
        </w:rPr>
        <w:t>胺含量，%；</w:t>
      </w:r>
    </w:p>
    <w:p>
      <w:pPr>
        <w:spacing w:line="320" w:lineRule="exact"/>
        <w:ind w:firstLine="525" w:firstLineChars="250"/>
        <w:rPr>
          <w:rFonts w:ascii="宋体" w:hAnsi="宋体"/>
        </w:rPr>
      </w:pPr>
      <w:r>
        <w:rPr>
          <w:rFonts w:hint="eastAsia" w:ascii="宋体" w:hAnsi="宋体"/>
        </w:rPr>
        <w:t>X</w:t>
      </w:r>
      <w:r>
        <w:rPr>
          <w:rFonts w:hint="eastAsia" w:ascii="宋体" w:hAnsi="宋体"/>
          <w:vertAlign w:val="subscript"/>
        </w:rPr>
        <w:t>3</w:t>
      </w:r>
      <w:r>
        <w:rPr>
          <w:rFonts w:hint="eastAsia" w:ascii="宋体" w:hAnsi="宋体"/>
        </w:rPr>
        <w:t>——甲酯含量，%；</w:t>
      </w:r>
    </w:p>
    <w:p>
      <w:pPr>
        <w:spacing w:line="320" w:lineRule="exact"/>
        <w:ind w:firstLine="525" w:firstLineChars="250"/>
        <w:rPr>
          <w:rFonts w:ascii="宋体" w:hAnsi="宋体"/>
        </w:rPr>
      </w:pPr>
      <w:r>
        <w:rPr>
          <w:rFonts w:hint="eastAsia" w:ascii="宋体" w:hAnsi="宋体"/>
        </w:rPr>
        <w:t>X</w:t>
      </w:r>
      <w:r>
        <w:rPr>
          <w:rFonts w:hint="eastAsia" w:ascii="宋体" w:hAnsi="宋体"/>
          <w:vertAlign w:val="subscript"/>
        </w:rPr>
        <w:t>4</w:t>
      </w:r>
      <w:r>
        <w:rPr>
          <w:rFonts w:hint="eastAsia" w:ascii="宋体" w:hAnsi="宋体"/>
        </w:rPr>
        <w:t>——甘油含量，%；</w:t>
      </w:r>
    </w:p>
    <w:p>
      <w:pPr>
        <w:spacing w:line="320" w:lineRule="exact"/>
        <w:ind w:firstLine="525" w:firstLineChars="250"/>
        <w:rPr>
          <w:rFonts w:ascii="宋体" w:hAnsi="宋体"/>
        </w:rPr>
      </w:pPr>
      <w:r>
        <w:rPr>
          <w:rFonts w:hint="eastAsia" w:ascii="宋体" w:hAnsi="宋体"/>
        </w:rPr>
        <w:t>X</w:t>
      </w:r>
      <w:r>
        <w:rPr>
          <w:rFonts w:hint="eastAsia" w:ascii="宋体" w:hAnsi="宋体"/>
          <w:vertAlign w:val="subscript"/>
        </w:rPr>
        <w:t>5</w:t>
      </w:r>
      <w:r>
        <w:rPr>
          <w:rFonts w:hint="eastAsia" w:ascii="宋体" w:hAnsi="宋体"/>
        </w:rPr>
        <w:t>——水分及挥发物，%</w:t>
      </w:r>
    </w:p>
    <w:p>
      <w:pPr>
        <w:widowControl/>
        <w:jc w:val="left"/>
        <w:outlineLvl w:val="3"/>
        <w:rPr>
          <w:rFonts w:eastAsia="黑体"/>
          <w:kern w:val="0"/>
          <w:szCs w:val="20"/>
        </w:rPr>
      </w:pPr>
      <w:r>
        <w:rPr>
          <w:rFonts w:hint="eastAsia" w:eastAsia="黑体"/>
          <w:kern w:val="0"/>
          <w:szCs w:val="20"/>
        </w:rPr>
        <w:t>5.10.3 允许误差</w:t>
      </w:r>
    </w:p>
    <w:p>
      <w:pPr>
        <w:spacing w:line="320" w:lineRule="exact"/>
        <w:ind w:firstLine="420" w:firstLineChars="200"/>
        <w:rPr>
          <w:rFonts w:ascii="宋体" w:hAnsi="宋体"/>
          <w:bCs/>
        </w:rPr>
      </w:pPr>
      <w:r>
        <w:rPr>
          <w:rFonts w:hint="eastAsia" w:ascii="宋体" w:hAnsi="宋体"/>
          <w:bCs/>
        </w:rPr>
        <w:t>两次平行测定结果之绝对误差不大于1.0。</w:t>
      </w:r>
    </w:p>
    <w:p>
      <w:pPr>
        <w:widowControl/>
        <w:spacing w:before="156" w:beforeLines="50" w:after="156" w:afterLines="50"/>
        <w:outlineLvl w:val="1"/>
        <w:rPr>
          <w:rFonts w:ascii="黑体" w:eastAsia="黑体"/>
          <w:kern w:val="0"/>
          <w:szCs w:val="20"/>
        </w:rPr>
      </w:pPr>
      <w:r>
        <w:rPr>
          <w:rFonts w:hint="eastAsia" w:ascii="黑体" w:eastAsia="黑体"/>
          <w:kern w:val="0"/>
          <w:szCs w:val="20"/>
        </w:rPr>
        <w:t>6 检验规则</w:t>
      </w:r>
    </w:p>
    <w:p>
      <w:pPr>
        <w:widowControl/>
        <w:numPr>
          <w:ilvl w:val="2"/>
          <w:numId w:val="0"/>
        </w:numPr>
        <w:jc w:val="left"/>
        <w:outlineLvl w:val="2"/>
        <w:rPr>
          <w:rFonts w:ascii="黑体" w:hAnsi="黑体" w:eastAsia="黑体"/>
          <w:kern w:val="0"/>
          <w:szCs w:val="20"/>
        </w:rPr>
      </w:pPr>
      <w:r>
        <w:rPr>
          <w:rFonts w:hint="eastAsia" w:ascii="黑体" w:hAnsi="黑体" w:eastAsia="黑体"/>
          <w:kern w:val="0"/>
          <w:szCs w:val="20"/>
        </w:rPr>
        <w:t>6.1</w:t>
      </w:r>
      <w:r>
        <w:rPr>
          <w:rFonts w:hint="eastAsia" w:ascii="宋体" w:hAnsi="宋体"/>
          <w:b/>
          <w:kern w:val="0"/>
          <w:szCs w:val="20"/>
        </w:rPr>
        <w:t xml:space="preserve"> </w:t>
      </w:r>
      <w:r>
        <w:rPr>
          <w:rFonts w:hint="eastAsia" w:ascii="黑体" w:hAnsi="黑体" w:eastAsia="黑体"/>
          <w:kern w:val="0"/>
          <w:szCs w:val="20"/>
        </w:rPr>
        <w:t>出厂检验</w:t>
      </w:r>
    </w:p>
    <w:p>
      <w:pPr>
        <w:widowControl/>
        <w:autoSpaceDE w:val="0"/>
        <w:autoSpaceDN w:val="0"/>
        <w:ind w:firstLine="420" w:firstLineChars="200"/>
        <w:rPr>
          <w:rFonts w:ascii="宋体"/>
          <w:kern w:val="0"/>
          <w:szCs w:val="20"/>
        </w:rPr>
      </w:pPr>
      <w:r>
        <w:rPr>
          <w:rFonts w:hint="eastAsia" w:ascii="宋体"/>
          <w:kern w:val="0"/>
          <w:szCs w:val="20"/>
        </w:rPr>
        <w:t>第4章表1中的所有技术指标为出厂检验项目。</w:t>
      </w:r>
    </w:p>
    <w:p>
      <w:pPr>
        <w:widowControl/>
        <w:numPr>
          <w:ilvl w:val="2"/>
          <w:numId w:val="0"/>
        </w:numPr>
        <w:jc w:val="left"/>
        <w:outlineLvl w:val="2"/>
        <w:rPr>
          <w:rFonts w:eastAsia="黑体"/>
          <w:kern w:val="0"/>
          <w:szCs w:val="20"/>
        </w:rPr>
      </w:pPr>
      <w:r>
        <w:rPr>
          <w:rFonts w:hint="eastAsia" w:eastAsia="黑体"/>
          <w:kern w:val="0"/>
          <w:szCs w:val="20"/>
        </w:rPr>
        <w:t>6.2 组批与抽样规则</w:t>
      </w:r>
    </w:p>
    <w:p>
      <w:pPr>
        <w:widowControl/>
        <w:numPr>
          <w:ilvl w:val="2"/>
          <w:numId w:val="0"/>
        </w:numPr>
        <w:jc w:val="left"/>
        <w:outlineLvl w:val="2"/>
        <w:rPr>
          <w:rFonts w:eastAsia="黑体"/>
          <w:kern w:val="0"/>
          <w:szCs w:val="20"/>
        </w:rPr>
      </w:pPr>
      <w:r>
        <w:rPr>
          <w:rFonts w:hint="eastAsia" w:eastAsia="黑体"/>
          <w:kern w:val="0"/>
          <w:szCs w:val="20"/>
        </w:rPr>
        <w:t>6.2.1 组批</w:t>
      </w:r>
    </w:p>
    <w:p>
      <w:pPr>
        <w:widowControl/>
        <w:ind w:firstLine="420" w:firstLineChars="200"/>
        <w:jc w:val="left"/>
        <w:outlineLvl w:val="3"/>
        <w:rPr>
          <w:rFonts w:ascii="宋体" w:hAnsi="宋体"/>
          <w:bCs/>
          <w:kern w:val="0"/>
          <w:szCs w:val="20"/>
        </w:rPr>
      </w:pPr>
      <w:r>
        <w:rPr>
          <w:rFonts w:hint="eastAsia" w:ascii="宋体" w:hAnsi="宋体"/>
          <w:bCs/>
          <w:kern w:val="0"/>
          <w:szCs w:val="20"/>
        </w:rPr>
        <w:t>在原材料、工艺不变的条件下，以连续生产的实际产量为一批，每批不超过50t。</w:t>
      </w:r>
    </w:p>
    <w:p>
      <w:pPr>
        <w:widowControl/>
        <w:numPr>
          <w:ilvl w:val="2"/>
          <w:numId w:val="0"/>
        </w:numPr>
        <w:jc w:val="left"/>
        <w:outlineLvl w:val="2"/>
        <w:rPr>
          <w:rFonts w:ascii="黑体" w:hAnsi="黑体" w:eastAsia="黑体"/>
          <w:kern w:val="0"/>
          <w:szCs w:val="20"/>
        </w:rPr>
      </w:pPr>
      <w:r>
        <w:rPr>
          <w:rFonts w:hint="eastAsia" w:ascii="黑体" w:hAnsi="黑体" w:eastAsia="黑体"/>
          <w:kern w:val="0"/>
          <w:szCs w:val="20"/>
        </w:rPr>
        <w:t>6.2.2抽样</w:t>
      </w:r>
    </w:p>
    <w:p>
      <w:pPr>
        <w:widowControl/>
        <w:ind w:firstLine="420" w:firstLineChars="200"/>
        <w:jc w:val="left"/>
        <w:outlineLvl w:val="4"/>
        <w:rPr>
          <w:rFonts w:ascii="宋体" w:hAnsi="宋体"/>
          <w:kern w:val="0"/>
          <w:szCs w:val="20"/>
        </w:rPr>
      </w:pPr>
      <w:r>
        <w:rPr>
          <w:rFonts w:hint="eastAsia" w:ascii="宋体" w:hAnsi="宋体"/>
          <w:kern w:val="0"/>
          <w:szCs w:val="20"/>
        </w:rPr>
        <w:t>按表2确定样本大小，从批中随机抽取袋样本，用取样器插入袋内中心2/3处取样品放入一混样瓶内，从每袋内取出相近量样品使总量约1k</w:t>
      </w:r>
      <w:r>
        <w:rPr>
          <w:rFonts w:ascii="宋体" w:hAnsi="宋体"/>
          <w:kern w:val="0"/>
          <w:szCs w:val="20"/>
        </w:rPr>
        <w:t>g</w:t>
      </w:r>
      <w:r>
        <w:rPr>
          <w:rFonts w:hint="eastAsia" w:ascii="宋体" w:hAnsi="宋体"/>
          <w:kern w:val="0"/>
          <w:szCs w:val="20"/>
        </w:rPr>
        <w:t>，充分混匀，分装于两个洁净干燥的具盖容器中，加盖密封，贴上标签，标明产品名称、批号及取样日期等。</w:t>
      </w:r>
      <w:r>
        <w:rPr>
          <w:rFonts w:hint="eastAsia" w:ascii="宋体" w:hAnsi="宋体"/>
          <w:bCs/>
          <w:kern w:val="0"/>
          <w:szCs w:val="20"/>
        </w:rPr>
        <w:t>一瓶检验用，一瓶封存三个月备查。</w:t>
      </w:r>
    </w:p>
    <w:p>
      <w:pPr>
        <w:widowControl/>
        <w:wordWrap w:val="0"/>
        <w:jc w:val="right"/>
        <w:rPr>
          <w:rFonts w:ascii="黑体" w:eastAsia="黑体"/>
          <w:kern w:val="0"/>
          <w:szCs w:val="20"/>
        </w:rPr>
      </w:pPr>
    </w:p>
    <w:p>
      <w:pPr>
        <w:widowControl/>
        <w:wordWrap w:val="0"/>
        <w:jc w:val="right"/>
        <w:rPr>
          <w:rFonts w:ascii="黑体" w:eastAsia="黑体"/>
          <w:kern w:val="0"/>
          <w:szCs w:val="20"/>
        </w:rPr>
      </w:pPr>
    </w:p>
    <w:p>
      <w:pPr>
        <w:widowControl/>
        <w:wordWrap w:val="0"/>
        <w:jc w:val="right"/>
        <w:rPr>
          <w:rFonts w:ascii="黑体" w:eastAsia="黑体"/>
          <w:kern w:val="0"/>
          <w:szCs w:val="20"/>
        </w:rPr>
      </w:pPr>
      <w:r>
        <w:rPr>
          <w:rFonts w:hint="eastAsia" w:ascii="黑体" w:eastAsia="黑体"/>
          <w:kern w:val="0"/>
          <w:szCs w:val="20"/>
        </w:rPr>
        <w:t xml:space="preserve">表2  批量和样本大小                  </w:t>
      </w:r>
      <w:r>
        <w:rPr>
          <w:rFonts w:hint="eastAsia" w:ascii="宋体"/>
          <w:kern w:val="0"/>
          <w:sz w:val="18"/>
          <w:szCs w:val="20"/>
        </w:rPr>
        <w:t>单位为袋数</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2"/>
        <w:gridCol w:w="2132"/>
        <w:gridCol w:w="2125"/>
        <w:gridCol w:w="2129"/>
        <w:gridCol w:w="2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5" w:type="pct"/>
          </w:tcPr>
          <w:p>
            <w:pPr>
              <w:ind w:left="-380" w:leftChars="-181" w:firstLine="381" w:firstLineChars="212"/>
              <w:jc w:val="center"/>
              <w:rPr>
                <w:rFonts w:ascii="宋体" w:hAnsi="宋体"/>
                <w:sz w:val="18"/>
                <w:szCs w:val="18"/>
              </w:rPr>
            </w:pPr>
            <w:r>
              <w:rPr>
                <w:rFonts w:hint="eastAsia" w:ascii="宋体" w:hAnsi="宋体"/>
                <w:sz w:val="18"/>
                <w:szCs w:val="18"/>
              </w:rPr>
              <w:t>批量</w:t>
            </w:r>
          </w:p>
        </w:tc>
        <w:tc>
          <w:tcPr>
            <w:tcW w:w="1114" w:type="pct"/>
          </w:tcPr>
          <w:p>
            <w:pPr>
              <w:ind w:firstLine="720" w:firstLineChars="400"/>
              <w:rPr>
                <w:rFonts w:ascii="宋体" w:hAnsi="宋体"/>
                <w:sz w:val="18"/>
                <w:szCs w:val="18"/>
              </w:rPr>
            </w:pPr>
            <w:r>
              <w:rPr>
                <w:rFonts w:hint="eastAsia" w:ascii="宋体" w:hAnsi="宋体"/>
                <w:sz w:val="18"/>
                <w:szCs w:val="18"/>
              </w:rPr>
              <w:t>&lt;15</w:t>
            </w:r>
          </w:p>
        </w:tc>
        <w:tc>
          <w:tcPr>
            <w:tcW w:w="1110" w:type="pct"/>
          </w:tcPr>
          <w:p>
            <w:pPr>
              <w:jc w:val="center"/>
              <w:rPr>
                <w:rFonts w:ascii="宋体" w:hAnsi="宋体"/>
                <w:sz w:val="18"/>
                <w:szCs w:val="18"/>
              </w:rPr>
            </w:pPr>
            <w:r>
              <w:rPr>
                <w:rFonts w:hint="eastAsia" w:ascii="宋体" w:hAnsi="宋体"/>
                <w:sz w:val="18"/>
                <w:szCs w:val="18"/>
              </w:rPr>
              <w:t>15～50</w:t>
            </w:r>
          </w:p>
        </w:tc>
        <w:tc>
          <w:tcPr>
            <w:tcW w:w="1112" w:type="pct"/>
          </w:tcPr>
          <w:p>
            <w:pPr>
              <w:jc w:val="center"/>
              <w:rPr>
                <w:rFonts w:ascii="宋体" w:hAnsi="宋体"/>
                <w:sz w:val="18"/>
                <w:szCs w:val="18"/>
              </w:rPr>
            </w:pPr>
            <w:r>
              <w:rPr>
                <w:rFonts w:hint="eastAsia" w:ascii="宋体" w:hAnsi="宋体"/>
                <w:sz w:val="18"/>
                <w:szCs w:val="18"/>
              </w:rPr>
              <w:t>51～150</w:t>
            </w:r>
          </w:p>
        </w:tc>
        <w:tc>
          <w:tcPr>
            <w:tcW w:w="1109" w:type="pct"/>
          </w:tcPr>
          <w:p>
            <w:pPr>
              <w:jc w:val="center"/>
              <w:rPr>
                <w:rFonts w:ascii="宋体" w:hAnsi="宋体"/>
                <w:sz w:val="18"/>
                <w:szCs w:val="18"/>
              </w:rPr>
            </w:pPr>
            <w:r>
              <w:rPr>
                <w:rFonts w:hint="eastAsia" w:ascii="宋体" w:hAnsi="宋体"/>
                <w:sz w:val="18"/>
                <w:szCs w:val="18"/>
              </w:rPr>
              <w:t>&gt;150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5" w:type="pct"/>
          </w:tcPr>
          <w:p>
            <w:pPr>
              <w:jc w:val="center"/>
              <w:rPr>
                <w:rFonts w:ascii="宋体" w:hAnsi="宋体"/>
                <w:sz w:val="18"/>
                <w:szCs w:val="18"/>
              </w:rPr>
            </w:pPr>
            <w:r>
              <w:rPr>
                <w:rFonts w:hint="eastAsia" w:ascii="宋体" w:hAnsi="宋体"/>
                <w:sz w:val="18"/>
                <w:szCs w:val="18"/>
              </w:rPr>
              <w:t>样本大小</w:t>
            </w:r>
          </w:p>
        </w:tc>
        <w:tc>
          <w:tcPr>
            <w:tcW w:w="1114" w:type="pct"/>
          </w:tcPr>
          <w:p>
            <w:pPr>
              <w:jc w:val="center"/>
              <w:rPr>
                <w:rFonts w:ascii="宋体" w:hAnsi="宋体"/>
                <w:sz w:val="18"/>
                <w:szCs w:val="18"/>
              </w:rPr>
            </w:pPr>
            <w:r>
              <w:rPr>
                <w:rFonts w:hint="eastAsia" w:ascii="宋体" w:hAnsi="宋体"/>
                <w:sz w:val="18"/>
                <w:szCs w:val="18"/>
              </w:rPr>
              <w:t>2</w:t>
            </w:r>
          </w:p>
        </w:tc>
        <w:tc>
          <w:tcPr>
            <w:tcW w:w="1110" w:type="pct"/>
          </w:tcPr>
          <w:p>
            <w:pPr>
              <w:jc w:val="center"/>
              <w:rPr>
                <w:rFonts w:ascii="宋体" w:hAnsi="宋体"/>
                <w:sz w:val="18"/>
                <w:szCs w:val="18"/>
              </w:rPr>
            </w:pPr>
            <w:r>
              <w:rPr>
                <w:rFonts w:hint="eastAsia" w:ascii="宋体" w:hAnsi="宋体"/>
                <w:sz w:val="18"/>
                <w:szCs w:val="18"/>
              </w:rPr>
              <w:t>5</w:t>
            </w:r>
          </w:p>
        </w:tc>
        <w:tc>
          <w:tcPr>
            <w:tcW w:w="1112" w:type="pct"/>
          </w:tcPr>
          <w:p>
            <w:pPr>
              <w:jc w:val="center"/>
              <w:rPr>
                <w:rFonts w:ascii="宋体" w:hAnsi="宋体"/>
                <w:sz w:val="18"/>
                <w:szCs w:val="18"/>
              </w:rPr>
            </w:pPr>
            <w:r>
              <w:rPr>
                <w:rFonts w:hint="eastAsia" w:ascii="宋体" w:hAnsi="宋体"/>
                <w:sz w:val="18"/>
                <w:szCs w:val="18"/>
              </w:rPr>
              <w:t>13</w:t>
            </w:r>
          </w:p>
        </w:tc>
        <w:tc>
          <w:tcPr>
            <w:tcW w:w="1109" w:type="pct"/>
          </w:tcPr>
          <w:p>
            <w:pPr>
              <w:jc w:val="center"/>
              <w:rPr>
                <w:rFonts w:ascii="宋体" w:hAnsi="宋体"/>
                <w:sz w:val="18"/>
                <w:szCs w:val="18"/>
              </w:rPr>
            </w:pPr>
            <w:r>
              <w:rPr>
                <w:rFonts w:hint="eastAsia" w:ascii="宋体" w:hAnsi="宋体"/>
                <w:sz w:val="18"/>
                <w:szCs w:val="18"/>
              </w:rPr>
              <w:t>32</w:t>
            </w:r>
          </w:p>
        </w:tc>
      </w:tr>
    </w:tbl>
    <w:p>
      <w:pPr>
        <w:widowControl/>
        <w:numPr>
          <w:ilvl w:val="2"/>
          <w:numId w:val="0"/>
        </w:numPr>
        <w:jc w:val="left"/>
        <w:outlineLvl w:val="2"/>
        <w:rPr>
          <w:rFonts w:eastAsia="黑体"/>
          <w:kern w:val="0"/>
          <w:szCs w:val="20"/>
        </w:rPr>
      </w:pPr>
      <w:r>
        <w:rPr>
          <w:rFonts w:hint="eastAsia" w:eastAsia="黑体"/>
          <w:kern w:val="0"/>
          <w:szCs w:val="20"/>
        </w:rPr>
        <w:t>6.3 判定规则与复验</w:t>
      </w:r>
    </w:p>
    <w:p>
      <w:pPr>
        <w:spacing w:line="320" w:lineRule="exact"/>
        <w:ind w:firstLine="420" w:firstLineChars="200"/>
        <w:rPr>
          <w:rFonts w:ascii="宋体" w:hAnsi="宋体"/>
          <w:bCs/>
        </w:rPr>
      </w:pPr>
      <w:r>
        <w:rPr>
          <w:rFonts w:hint="eastAsia" w:ascii="宋体" w:hAnsi="宋体"/>
          <w:bCs/>
        </w:rPr>
        <w:t>技术指标检验结果</w:t>
      </w:r>
      <w:r>
        <w:rPr>
          <w:rFonts w:hint="eastAsia" w:ascii="宋体" w:hAnsi="宋体"/>
        </w:rPr>
        <w:t>采用GB/T 8170规定的修约值比较法判定检验结果是否符合标准。</w:t>
      </w:r>
      <w:r>
        <w:rPr>
          <w:rFonts w:hint="eastAsia" w:ascii="宋体" w:hAnsi="宋体"/>
          <w:bCs/>
        </w:rPr>
        <w:t>检验结果中，如有一项指标不合格时，应重新在两倍包装中取样对不合格项进行复验，如复验结果符合标准规定，则判该批产品合格，如仍有不合格项，则判该批产品不合格。</w:t>
      </w:r>
    </w:p>
    <w:p>
      <w:pPr>
        <w:spacing w:line="320" w:lineRule="exact"/>
        <w:rPr>
          <w:rFonts w:ascii="黑体" w:hAnsi="黑体" w:eastAsia="黑体"/>
          <w:bCs/>
        </w:rPr>
      </w:pPr>
      <w:r>
        <w:rPr>
          <w:rFonts w:hint="eastAsia" w:ascii="黑体" w:hAnsi="黑体" w:eastAsia="黑体"/>
          <w:bCs/>
        </w:rPr>
        <w:t>6.4 出厂与验收</w:t>
      </w:r>
    </w:p>
    <w:p>
      <w:pPr>
        <w:spacing w:line="320" w:lineRule="exact"/>
        <w:rPr>
          <w:rFonts w:ascii="宋体" w:hAnsi="宋体"/>
          <w:bCs/>
        </w:rPr>
      </w:pPr>
      <w:r>
        <w:rPr>
          <w:rFonts w:hint="eastAsia" w:ascii="宋体" w:hAnsi="宋体"/>
          <w:b/>
          <w:bCs/>
        </w:rPr>
        <w:t xml:space="preserve">   </w:t>
      </w:r>
      <w:r>
        <w:rPr>
          <w:rFonts w:hint="eastAsia" w:ascii="宋体" w:hAnsi="宋体"/>
          <w:bCs/>
        </w:rPr>
        <w:t xml:space="preserve">产品须经公司质检部门按本文件进行检验，检验合格并出具质量合格报告后，方可出厂。收货单位在收货后15天内完成验收。  </w:t>
      </w:r>
    </w:p>
    <w:p>
      <w:pPr>
        <w:spacing w:line="320" w:lineRule="exact"/>
        <w:rPr>
          <w:rFonts w:ascii="黑体" w:hAnsi="黑体" w:eastAsia="黑体"/>
          <w:bCs/>
        </w:rPr>
      </w:pPr>
      <w:r>
        <w:rPr>
          <w:rFonts w:hint="eastAsia" w:ascii="黑体" w:hAnsi="黑体" w:eastAsia="黑体"/>
          <w:bCs/>
        </w:rPr>
        <w:t>6.5 仲裁</w:t>
      </w:r>
    </w:p>
    <w:p>
      <w:pPr>
        <w:spacing w:line="320" w:lineRule="exact"/>
        <w:rPr>
          <w:rFonts w:ascii="宋体" w:hAnsi="宋体"/>
          <w:bCs/>
        </w:rPr>
      </w:pPr>
      <w:r>
        <w:rPr>
          <w:rFonts w:hint="eastAsia" w:ascii="黑体" w:hAnsi="黑体" w:eastAsia="黑体"/>
          <w:bCs/>
        </w:rPr>
        <w:t xml:space="preserve">  </w:t>
      </w:r>
      <w:r>
        <w:rPr>
          <w:rFonts w:hint="eastAsia" w:ascii="宋体" w:hAnsi="宋体"/>
          <w:bCs/>
        </w:rPr>
        <w:t>收货单位如发现产品质量不符合本文件规定的要求，应在到货15天内向生产厂交涉。如有异议，会同双方按6.2.2抽样。取样量不少于1kg，样品混匀后分装于三个干燥清洁的样品瓶内，加盖密封，贴上标签，并注明：样品名称、批号、生产单位、取样日期和取样人，交收双方各持一瓶，另一瓶签封后，可商请有关法定质量检验单位进行仲裁检验。样品常温保存，保存期一个月。仲裁检验结果为最终依据。</w:t>
      </w:r>
    </w:p>
    <w:p>
      <w:pPr>
        <w:widowControl/>
        <w:spacing w:before="156" w:beforeLines="50" w:after="156" w:afterLines="50"/>
        <w:outlineLvl w:val="1"/>
        <w:rPr>
          <w:rFonts w:ascii="宋体" w:hAnsi="宋体" w:eastAsia="黑体"/>
          <w:kern w:val="0"/>
          <w:szCs w:val="20"/>
        </w:rPr>
      </w:pPr>
      <w:r>
        <w:rPr>
          <w:rFonts w:hint="eastAsia" w:ascii="黑体" w:eastAsia="黑体"/>
          <w:kern w:val="0"/>
          <w:szCs w:val="20"/>
        </w:rPr>
        <w:t>7 标志、包装、运输、贮存和保质期</w:t>
      </w:r>
    </w:p>
    <w:p>
      <w:pPr>
        <w:widowControl/>
        <w:numPr>
          <w:ilvl w:val="2"/>
          <w:numId w:val="0"/>
        </w:numPr>
        <w:jc w:val="left"/>
        <w:outlineLvl w:val="2"/>
        <w:rPr>
          <w:rFonts w:eastAsia="黑体"/>
          <w:kern w:val="0"/>
          <w:szCs w:val="20"/>
        </w:rPr>
      </w:pPr>
      <w:r>
        <w:rPr>
          <w:rFonts w:hint="eastAsia" w:eastAsia="黑体"/>
          <w:kern w:val="0"/>
          <w:szCs w:val="20"/>
        </w:rPr>
        <w:t>7.1标志</w:t>
      </w:r>
    </w:p>
    <w:p>
      <w:pPr>
        <w:widowControl/>
        <w:numPr>
          <w:ilvl w:val="2"/>
          <w:numId w:val="0"/>
        </w:numPr>
        <w:jc w:val="left"/>
        <w:outlineLvl w:val="2"/>
        <w:rPr>
          <w:kern w:val="0"/>
          <w:szCs w:val="20"/>
        </w:rPr>
      </w:pPr>
      <w:r>
        <w:rPr>
          <w:rFonts w:hint="eastAsia"/>
          <w:kern w:val="0"/>
          <w:szCs w:val="20"/>
        </w:rPr>
        <w:t>产品的包装容器外印刷的标志（图案及文字）应清晰、不脱色，并标明：</w:t>
      </w:r>
    </w:p>
    <w:p>
      <w:pPr>
        <w:widowControl/>
        <w:numPr>
          <w:ilvl w:val="2"/>
          <w:numId w:val="0"/>
        </w:numPr>
        <w:jc w:val="left"/>
        <w:outlineLvl w:val="2"/>
        <w:rPr>
          <w:kern w:val="0"/>
          <w:szCs w:val="20"/>
        </w:rPr>
      </w:pPr>
      <w:r>
        <w:rPr>
          <w:rFonts w:hint="eastAsia"/>
          <w:kern w:val="0"/>
          <w:szCs w:val="20"/>
        </w:rPr>
        <w:t>a)</w:t>
      </w:r>
      <w:r>
        <w:rPr>
          <w:rFonts w:hint="eastAsia"/>
          <w:kern w:val="0"/>
          <w:szCs w:val="20"/>
        </w:rPr>
        <w:tab/>
      </w:r>
      <w:r>
        <w:rPr>
          <w:rFonts w:hint="eastAsia"/>
          <w:kern w:val="0"/>
          <w:szCs w:val="20"/>
        </w:rPr>
        <w:t>产品名称、商标、类型、执行标准编号；</w:t>
      </w:r>
    </w:p>
    <w:p>
      <w:pPr>
        <w:widowControl/>
        <w:numPr>
          <w:ilvl w:val="2"/>
          <w:numId w:val="0"/>
        </w:numPr>
        <w:jc w:val="left"/>
        <w:outlineLvl w:val="2"/>
        <w:rPr>
          <w:kern w:val="0"/>
          <w:szCs w:val="20"/>
        </w:rPr>
      </w:pPr>
      <w:r>
        <w:rPr>
          <w:rFonts w:hint="eastAsia"/>
          <w:kern w:val="0"/>
          <w:szCs w:val="20"/>
        </w:rPr>
        <w:t>b)</w:t>
      </w:r>
      <w:r>
        <w:rPr>
          <w:rFonts w:hint="eastAsia"/>
          <w:kern w:val="0"/>
          <w:szCs w:val="20"/>
        </w:rPr>
        <w:tab/>
      </w:r>
      <w:r>
        <w:rPr>
          <w:rFonts w:hint="eastAsia"/>
          <w:kern w:val="0"/>
          <w:szCs w:val="20"/>
        </w:rPr>
        <w:t>生产日期或生产批号；</w:t>
      </w:r>
    </w:p>
    <w:p>
      <w:pPr>
        <w:widowControl/>
        <w:numPr>
          <w:ilvl w:val="2"/>
          <w:numId w:val="0"/>
        </w:numPr>
        <w:jc w:val="left"/>
        <w:outlineLvl w:val="2"/>
        <w:rPr>
          <w:kern w:val="0"/>
          <w:szCs w:val="20"/>
        </w:rPr>
      </w:pPr>
      <w:r>
        <w:rPr>
          <w:rFonts w:hint="eastAsia"/>
          <w:kern w:val="0"/>
          <w:szCs w:val="20"/>
        </w:rPr>
        <w:t>c)</w:t>
      </w:r>
      <w:r>
        <w:rPr>
          <w:rFonts w:hint="eastAsia"/>
          <w:kern w:val="0"/>
          <w:szCs w:val="20"/>
        </w:rPr>
        <w:tab/>
      </w:r>
      <w:r>
        <w:rPr>
          <w:rFonts w:hint="eastAsia"/>
          <w:kern w:val="0"/>
          <w:szCs w:val="20"/>
        </w:rPr>
        <w:t>净重；</w:t>
      </w:r>
    </w:p>
    <w:p>
      <w:pPr>
        <w:widowControl/>
        <w:numPr>
          <w:ilvl w:val="2"/>
          <w:numId w:val="0"/>
        </w:numPr>
        <w:jc w:val="left"/>
        <w:outlineLvl w:val="2"/>
        <w:rPr>
          <w:kern w:val="0"/>
          <w:szCs w:val="20"/>
        </w:rPr>
      </w:pPr>
      <w:r>
        <w:rPr>
          <w:rFonts w:hint="eastAsia"/>
          <w:kern w:val="0"/>
          <w:szCs w:val="20"/>
        </w:rPr>
        <w:t>d)</w:t>
      </w:r>
      <w:r>
        <w:rPr>
          <w:rFonts w:hint="eastAsia"/>
          <w:kern w:val="0"/>
          <w:szCs w:val="20"/>
        </w:rPr>
        <w:tab/>
      </w:r>
      <w:r>
        <w:rPr>
          <w:rFonts w:hint="eastAsia"/>
          <w:kern w:val="0"/>
          <w:szCs w:val="20"/>
        </w:rPr>
        <w:t>生产厂家名称、地址；</w:t>
      </w:r>
    </w:p>
    <w:p>
      <w:pPr>
        <w:widowControl/>
        <w:numPr>
          <w:ilvl w:val="2"/>
          <w:numId w:val="0"/>
        </w:numPr>
        <w:jc w:val="left"/>
        <w:outlineLvl w:val="2"/>
        <w:rPr>
          <w:kern w:val="0"/>
          <w:szCs w:val="20"/>
        </w:rPr>
      </w:pPr>
      <w:r>
        <w:rPr>
          <w:rFonts w:hint="eastAsia"/>
          <w:kern w:val="0"/>
          <w:szCs w:val="20"/>
        </w:rPr>
        <w:t>e)</w:t>
      </w:r>
      <w:r>
        <w:rPr>
          <w:rFonts w:hint="eastAsia"/>
          <w:kern w:val="0"/>
          <w:szCs w:val="20"/>
        </w:rPr>
        <w:tab/>
      </w:r>
      <w:r>
        <w:rPr>
          <w:rFonts w:hint="eastAsia"/>
          <w:kern w:val="0"/>
          <w:szCs w:val="20"/>
        </w:rPr>
        <w:t>有防雨、防水、小心轻放等文字或标记。</w:t>
      </w:r>
    </w:p>
    <w:p>
      <w:pPr>
        <w:widowControl/>
        <w:numPr>
          <w:ilvl w:val="2"/>
          <w:numId w:val="0"/>
        </w:numPr>
        <w:jc w:val="left"/>
        <w:outlineLvl w:val="2"/>
        <w:rPr>
          <w:rFonts w:eastAsia="黑体"/>
          <w:kern w:val="0"/>
          <w:szCs w:val="20"/>
        </w:rPr>
      </w:pPr>
      <w:r>
        <w:rPr>
          <w:rFonts w:hint="eastAsia" w:eastAsia="黑体"/>
          <w:kern w:val="0"/>
          <w:szCs w:val="20"/>
        </w:rPr>
        <w:t>7.2 包装</w:t>
      </w:r>
      <w:r>
        <w:rPr>
          <w:rFonts w:eastAsia="黑体"/>
          <w:kern w:val="0"/>
          <w:szCs w:val="20"/>
        </w:rPr>
        <w:tab/>
      </w:r>
    </w:p>
    <w:p>
      <w:pPr>
        <w:tabs>
          <w:tab w:val="left" w:pos="2475"/>
        </w:tabs>
        <w:spacing w:line="320" w:lineRule="exact"/>
        <w:rPr>
          <w:rFonts w:ascii="宋体" w:hAnsi="宋体"/>
        </w:rPr>
      </w:pPr>
      <w:r>
        <w:rPr>
          <w:rFonts w:hint="eastAsia" w:ascii="宋体" w:hAnsi="宋体"/>
        </w:rPr>
        <w:t xml:space="preserve">   产品采用纸塑复合袋包装。产品装入纸塑复合袋时应留有适量的空隙，包装后应封口良好，防止进水。</w:t>
      </w:r>
    </w:p>
    <w:p>
      <w:pPr>
        <w:widowControl/>
        <w:numPr>
          <w:ilvl w:val="2"/>
          <w:numId w:val="0"/>
        </w:numPr>
        <w:jc w:val="left"/>
        <w:outlineLvl w:val="2"/>
        <w:rPr>
          <w:rFonts w:eastAsia="黑体"/>
          <w:kern w:val="0"/>
          <w:szCs w:val="20"/>
        </w:rPr>
      </w:pPr>
      <w:r>
        <w:rPr>
          <w:rFonts w:hint="eastAsia" w:eastAsia="黑体"/>
          <w:kern w:val="0"/>
          <w:szCs w:val="20"/>
        </w:rPr>
        <w:t>7.3 运输</w:t>
      </w:r>
    </w:p>
    <w:p>
      <w:pPr>
        <w:spacing w:line="320" w:lineRule="exact"/>
        <w:ind w:firstLine="210" w:firstLineChars="100"/>
        <w:rPr>
          <w:rFonts w:ascii="宋体" w:hAnsi="宋体"/>
        </w:rPr>
      </w:pPr>
      <w:r>
        <w:rPr>
          <w:rFonts w:hint="eastAsia" w:ascii="宋体" w:hAnsi="宋体"/>
        </w:rPr>
        <w:t xml:space="preserve">  产品在运输时应轻装、轻卸、防止破损、防止日晒雨淋。</w:t>
      </w:r>
    </w:p>
    <w:p>
      <w:pPr>
        <w:widowControl/>
        <w:numPr>
          <w:ilvl w:val="2"/>
          <w:numId w:val="0"/>
        </w:numPr>
        <w:jc w:val="left"/>
        <w:outlineLvl w:val="2"/>
        <w:rPr>
          <w:rFonts w:eastAsia="黑体"/>
          <w:kern w:val="0"/>
          <w:szCs w:val="20"/>
        </w:rPr>
      </w:pPr>
      <w:r>
        <w:rPr>
          <w:rFonts w:hint="eastAsia" w:eastAsia="黑体"/>
          <w:kern w:val="0"/>
          <w:szCs w:val="20"/>
        </w:rPr>
        <w:t>7.4 贮存</w:t>
      </w:r>
    </w:p>
    <w:p>
      <w:pPr>
        <w:spacing w:line="320" w:lineRule="exact"/>
        <w:ind w:firstLine="420" w:firstLineChars="200"/>
        <w:rPr>
          <w:rFonts w:ascii="宋体" w:hAnsi="宋体"/>
        </w:rPr>
      </w:pPr>
      <w:r>
        <w:rPr>
          <w:rFonts w:hint="eastAsia" w:ascii="宋体" w:hAnsi="宋体"/>
        </w:rPr>
        <w:t>产品应贮存在干燥阴凉、通风良好，不受阳光直射或雨淋的场所。</w:t>
      </w:r>
    </w:p>
    <w:p>
      <w:pPr>
        <w:widowControl/>
        <w:numPr>
          <w:ilvl w:val="2"/>
          <w:numId w:val="0"/>
        </w:numPr>
        <w:jc w:val="left"/>
        <w:outlineLvl w:val="2"/>
        <w:rPr>
          <w:rFonts w:eastAsia="黑体"/>
          <w:kern w:val="0"/>
          <w:szCs w:val="20"/>
        </w:rPr>
      </w:pPr>
      <w:r>
        <w:rPr>
          <w:rFonts w:hint="eastAsia" w:eastAsia="黑体"/>
          <w:kern w:val="0"/>
          <w:szCs w:val="20"/>
        </w:rPr>
        <w:t>7.5 保质期</w:t>
      </w:r>
    </w:p>
    <w:p>
      <w:pPr>
        <w:tabs>
          <w:tab w:val="left" w:pos="540"/>
        </w:tabs>
        <w:ind w:firstLine="420" w:firstLineChars="200"/>
        <w:rPr>
          <w:rFonts w:ascii="宋体" w:hAnsi="宋体"/>
        </w:rPr>
      </w:pPr>
      <w:r>
        <w:rPr>
          <w:rFonts w:hint="eastAsia" w:ascii="宋体" w:hAnsi="宋体"/>
        </w:rPr>
        <w:t>在规定的运输和包装贮存条件下，在包装完整未经启封的情况下，从生产之日起保质期为12个月。</w:t>
      </w:r>
    </w:p>
    <w:p>
      <w:pPr>
        <w:tabs>
          <w:tab w:val="left" w:pos="540"/>
        </w:tabs>
        <w:jc w:val="left"/>
        <w:rPr>
          <w:rFonts w:ascii="宋体" w:hAnsi="宋体"/>
        </w:rPr>
      </w:pPr>
      <w:r>
        <w:rPr>
          <w:rFonts w:hint="eastAsia" w:ascii="宋体" w:hAnsi="宋体"/>
          <w:b/>
        </w:rPr>
        <w:t xml:space="preserve">    </w:t>
      </w:r>
    </w:p>
    <w:p>
      <w:pPr>
        <w:pStyle w:val="126"/>
        <w:framePr w:wrap="around"/>
        <w:rPr>
          <w:color w:val="000000"/>
        </w:rPr>
      </w:pPr>
      <w:r>
        <w:rPr>
          <w:color w:val="000000"/>
        </w:rPr>
        <w:t>_________________________________</w:t>
      </w:r>
    </w:p>
    <w:sectPr>
      <w:pgSz w:w="11906" w:h="16838"/>
      <w:pgMar w:top="567" w:right="1134" w:bottom="1134" w:left="1417" w:header="850" w:footer="850" w:gutter="0"/>
      <w:pgNumType w:start="1"/>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fldChar w:fldCharType="begin"/>
    </w:r>
    <w:r>
      <w:instrText xml:space="preserve"> PAGE  \* MERGEFORMAT </w:instrText>
    </w:r>
    <w:r>
      <w:fldChar w:fldCharType="separate"/>
    </w:r>
    <w:r>
      <w:t>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9"/>
    </w:pPr>
    <w:r>
      <w:t>Q/HJJX 2—2011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Q</w:t>
    </w:r>
    <w:r>
      <w:rPr>
        <w:rFonts w:hint="eastAsia"/>
      </w:rPr>
      <w:t>B</w:t>
    </w:r>
    <w:r>
      <w:t>/</w:t>
    </w:r>
    <w:r>
      <w:rPr>
        <w:rFonts w:hint="eastAsia"/>
      </w:rPr>
      <w:t>T</w:t>
    </w:r>
    <w:r>
      <w:t xml:space="preserve"> </w:t>
    </w:r>
    <w:r>
      <w:rPr>
        <w:rFonts w:hint="eastAsia"/>
      </w:rPr>
      <w:t>XXXX</w:t>
    </w:r>
    <w:r>
      <w:t>—201</w:t>
    </w:r>
    <w:r>
      <w:rPr>
        <w:rFonts w:hint="eastAsia"/>
      </w:rPr>
      <w:t>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4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4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18"/>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5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012C8F"/>
    <w:multiLevelType w:val="multilevel"/>
    <w:tmpl w:val="1F012C8F"/>
    <w:lvl w:ilvl="0" w:tentative="0">
      <w:start w:val="1"/>
      <w:numFmt w:val="lowerLetter"/>
      <w:lvlText w:val="%1）"/>
      <w:lvlJc w:val="left"/>
      <w:pPr>
        <w:tabs>
          <w:tab w:val="left" w:pos="838"/>
        </w:tabs>
        <w:ind w:left="838" w:hanging="420"/>
      </w:pPr>
      <w:rPr>
        <w:rFonts w:hint="eastAsia"/>
      </w:rPr>
    </w:lvl>
    <w:lvl w:ilvl="1" w:tentative="0">
      <w:start w:val="1"/>
      <w:numFmt w:val="lowerLetter"/>
      <w:lvlText w:val="%2)"/>
      <w:lvlJc w:val="left"/>
      <w:pPr>
        <w:tabs>
          <w:tab w:val="left" w:pos="1258"/>
        </w:tabs>
        <w:ind w:left="1258" w:hanging="420"/>
      </w:pPr>
    </w:lvl>
    <w:lvl w:ilvl="2" w:tentative="0">
      <w:start w:val="1"/>
      <w:numFmt w:val="lowerRoman"/>
      <w:lvlText w:val="%3."/>
      <w:lvlJc w:val="right"/>
      <w:pPr>
        <w:tabs>
          <w:tab w:val="left" w:pos="1678"/>
        </w:tabs>
        <w:ind w:left="1678" w:hanging="420"/>
      </w:pPr>
    </w:lvl>
    <w:lvl w:ilvl="3" w:tentative="0">
      <w:start w:val="1"/>
      <w:numFmt w:val="decimal"/>
      <w:lvlText w:val="%4."/>
      <w:lvlJc w:val="left"/>
      <w:pPr>
        <w:tabs>
          <w:tab w:val="left" w:pos="2098"/>
        </w:tabs>
        <w:ind w:left="2098" w:hanging="420"/>
      </w:pPr>
    </w:lvl>
    <w:lvl w:ilvl="4" w:tentative="0">
      <w:start w:val="1"/>
      <w:numFmt w:val="lowerLetter"/>
      <w:lvlText w:val="%5)"/>
      <w:lvlJc w:val="left"/>
      <w:pPr>
        <w:tabs>
          <w:tab w:val="left" w:pos="2518"/>
        </w:tabs>
        <w:ind w:left="2518" w:hanging="420"/>
      </w:pPr>
    </w:lvl>
    <w:lvl w:ilvl="5" w:tentative="0">
      <w:start w:val="1"/>
      <w:numFmt w:val="lowerRoman"/>
      <w:lvlText w:val="%6."/>
      <w:lvlJc w:val="right"/>
      <w:pPr>
        <w:tabs>
          <w:tab w:val="left" w:pos="2938"/>
        </w:tabs>
        <w:ind w:left="2938" w:hanging="420"/>
      </w:pPr>
    </w:lvl>
    <w:lvl w:ilvl="6" w:tentative="0">
      <w:start w:val="1"/>
      <w:numFmt w:val="decimal"/>
      <w:lvlText w:val="%7."/>
      <w:lvlJc w:val="left"/>
      <w:pPr>
        <w:tabs>
          <w:tab w:val="left" w:pos="3358"/>
        </w:tabs>
        <w:ind w:left="3358" w:hanging="420"/>
      </w:pPr>
    </w:lvl>
    <w:lvl w:ilvl="7" w:tentative="0">
      <w:start w:val="1"/>
      <w:numFmt w:val="lowerLetter"/>
      <w:lvlText w:val="%8)"/>
      <w:lvlJc w:val="left"/>
      <w:pPr>
        <w:tabs>
          <w:tab w:val="left" w:pos="3778"/>
        </w:tabs>
        <w:ind w:left="3778" w:hanging="420"/>
      </w:pPr>
    </w:lvl>
    <w:lvl w:ilvl="8" w:tentative="0">
      <w:start w:val="1"/>
      <w:numFmt w:val="lowerRoman"/>
      <w:lvlText w:val="%9."/>
      <w:lvlJc w:val="right"/>
      <w:pPr>
        <w:tabs>
          <w:tab w:val="left" w:pos="4198"/>
        </w:tabs>
        <w:ind w:left="4198" w:hanging="420"/>
      </w:pPr>
    </w:lvl>
  </w:abstractNum>
  <w:abstractNum w:abstractNumId="6">
    <w:nsid w:val="1FC91163"/>
    <w:multiLevelType w:val="multilevel"/>
    <w:tmpl w:val="1FC91163"/>
    <w:lvl w:ilvl="0" w:tentative="0">
      <w:start w:val="1"/>
      <w:numFmt w:val="decimal"/>
      <w:pStyle w:val="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36"/>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1277" w:firstLine="0"/>
      </w:pPr>
      <w:rPr>
        <w:rFonts w:hint="eastAsia" w:ascii="黑体" w:hAnsi="Times New Roman" w:eastAsia="黑体"/>
        <w:b w:val="0"/>
        <w:i w:val="0"/>
        <w:color w:val="auto"/>
        <w:sz w:val="21"/>
      </w:rPr>
    </w:lvl>
    <w:lvl w:ilvl="4" w:tentative="0">
      <w:start w:val="1"/>
      <w:numFmt w:val="decimal"/>
      <w:pStyle w:val="45"/>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A8F7113"/>
    <w:multiLevelType w:val="multilevel"/>
    <w:tmpl w:val="2A8F7113"/>
    <w:lvl w:ilvl="0" w:tentative="0">
      <w:start w:val="1"/>
      <w:numFmt w:val="upperLetter"/>
      <w:pStyle w:val="88"/>
      <w:suff w:val="space"/>
      <w:lvlText w:val="%1"/>
      <w:lvlJc w:val="left"/>
      <w:pPr>
        <w:ind w:left="623" w:hanging="425"/>
      </w:pPr>
      <w:rPr>
        <w:rFonts w:hint="eastAsia"/>
      </w:rPr>
    </w:lvl>
    <w:lvl w:ilvl="1" w:tentative="0">
      <w:start w:val="1"/>
      <w:numFmt w:val="decimal"/>
      <w:pStyle w:val="8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8">
    <w:nsid w:val="2C5917C3"/>
    <w:multiLevelType w:val="multilevel"/>
    <w:tmpl w:val="2C5917C3"/>
    <w:lvl w:ilvl="0" w:tentative="0">
      <w:start w:val="1"/>
      <w:numFmt w:val="none"/>
      <w:pStyle w:val="38"/>
      <w:suff w:val="nothing"/>
      <w:lvlText w:val="%1——"/>
      <w:lvlJc w:val="left"/>
      <w:pPr>
        <w:ind w:left="833" w:hanging="408"/>
      </w:pPr>
      <w:rPr>
        <w:rFonts w:hint="eastAsia"/>
      </w:rPr>
    </w:lvl>
    <w:lvl w:ilvl="1" w:tentative="0">
      <w:start w:val="1"/>
      <w:numFmt w:val="bullet"/>
      <w:pStyle w:val="39"/>
      <w:lvlText w:val=""/>
      <w:lvlJc w:val="left"/>
      <w:pPr>
        <w:tabs>
          <w:tab w:val="left" w:pos="760"/>
        </w:tabs>
        <w:ind w:left="1264" w:hanging="413"/>
      </w:pPr>
      <w:rPr>
        <w:rFonts w:hint="default" w:ascii="Symbol" w:hAnsi="Symbol"/>
        <w:color w:val="auto"/>
      </w:rPr>
    </w:lvl>
    <w:lvl w:ilvl="2" w:tentative="0">
      <w:start w:val="1"/>
      <w:numFmt w:val="bullet"/>
      <w:pStyle w:val="5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9">
    <w:nsid w:val="3D733618"/>
    <w:multiLevelType w:val="multilevel"/>
    <w:tmpl w:val="3D733618"/>
    <w:lvl w:ilvl="0" w:tentative="0">
      <w:start w:val="1"/>
      <w:numFmt w:val="decimal"/>
      <w:pStyle w:val="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0">
    <w:nsid w:val="3E8E064F"/>
    <w:multiLevelType w:val="multilevel"/>
    <w:tmpl w:val="3E8E064F"/>
    <w:lvl w:ilvl="0" w:tentative="0">
      <w:start w:val="1"/>
      <w:numFmt w:val="lowerLetter"/>
      <w:pStyle w:val="49"/>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pStyle w:val="4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51"/>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1">
    <w:nsid w:val="4B733A5F"/>
    <w:multiLevelType w:val="multilevel"/>
    <w:tmpl w:val="4B733A5F"/>
    <w:lvl w:ilvl="0" w:tentative="0">
      <w:start w:val="1"/>
      <w:numFmt w:val="decimal"/>
      <w:pStyle w:val="5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2">
    <w:nsid w:val="557C2AF5"/>
    <w:multiLevelType w:val="multilevel"/>
    <w:tmpl w:val="557C2AF5"/>
    <w:lvl w:ilvl="0" w:tentative="0">
      <w:start w:val="1"/>
      <w:numFmt w:val="decimal"/>
      <w:pStyle w:val="12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60B55DC2"/>
    <w:multiLevelType w:val="multilevel"/>
    <w:tmpl w:val="60B55DC2"/>
    <w:lvl w:ilvl="0" w:tentative="0">
      <w:start w:val="1"/>
      <w:numFmt w:val="upperLetter"/>
      <w:pStyle w:val="76"/>
      <w:lvlText w:val="%1"/>
      <w:lvlJc w:val="left"/>
      <w:pPr>
        <w:tabs>
          <w:tab w:val="left" w:pos="0"/>
        </w:tabs>
        <w:ind w:left="0" w:hanging="425"/>
      </w:pPr>
      <w:rPr>
        <w:rFonts w:hint="eastAsia"/>
      </w:rPr>
    </w:lvl>
    <w:lvl w:ilvl="1" w:tentative="0">
      <w:start w:val="1"/>
      <w:numFmt w:val="decimal"/>
      <w:pStyle w:val="7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3"/>
      <w:suff w:val="nothing"/>
      <w:lvlText w:val="表%1　"/>
      <w:lvlJc w:val="left"/>
      <w:pPr>
        <w:ind w:left="462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9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93"/>
      <w:suff w:val="nothing"/>
      <w:lvlText w:val="%1.%2.%3　"/>
      <w:lvlJc w:val="left"/>
      <w:pPr>
        <w:ind w:left="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83"/>
      <w:suff w:val="nothing"/>
      <w:lvlText w:val="%1.%2.%3.%4.%5　"/>
      <w:lvlJc w:val="left"/>
      <w:pPr>
        <w:ind w:left="0" w:firstLine="0"/>
      </w:pPr>
      <w:rPr>
        <w:rFonts w:hint="eastAsia" w:ascii="黑体" w:hAnsi="Times New Roman" w:eastAsia="黑体"/>
        <w:b w:val="0"/>
        <w:i w:val="0"/>
        <w:sz w:val="21"/>
      </w:rPr>
    </w:lvl>
    <w:lvl w:ilvl="5" w:tentative="0">
      <w:start w:val="1"/>
      <w:numFmt w:val="decimal"/>
      <w:pStyle w:val="86"/>
      <w:suff w:val="nothing"/>
      <w:lvlText w:val="%1.%2.%3.%4.%5.%6　"/>
      <w:lvlJc w:val="left"/>
      <w:pPr>
        <w:ind w:left="0" w:firstLine="0"/>
      </w:pPr>
      <w:rPr>
        <w:rFonts w:hint="eastAsia" w:ascii="黑体" w:hAnsi="Times New Roman" w:eastAsia="黑体"/>
        <w:b w:val="0"/>
        <w:i w:val="0"/>
        <w:sz w:val="21"/>
      </w:rPr>
    </w:lvl>
    <w:lvl w:ilvl="6" w:tentative="0">
      <w:start w:val="1"/>
      <w:numFmt w:val="decimal"/>
      <w:pStyle w:val="9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95"/>
      <w:lvlText w:val="%1)"/>
      <w:lvlJc w:val="left"/>
      <w:pPr>
        <w:tabs>
          <w:tab w:val="left" w:pos="839"/>
        </w:tabs>
        <w:ind w:left="839" w:hanging="419"/>
      </w:pPr>
      <w:rPr>
        <w:rFonts w:hint="eastAsia" w:ascii="宋体" w:eastAsia="宋体"/>
        <w:b w:val="0"/>
        <w:i w:val="0"/>
        <w:sz w:val="21"/>
      </w:rPr>
    </w:lvl>
    <w:lvl w:ilvl="1" w:tentative="0">
      <w:start w:val="1"/>
      <w:numFmt w:val="decimal"/>
      <w:pStyle w:val="8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4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8">
    <w:nsid w:val="6E8A6740"/>
    <w:multiLevelType w:val="multilevel"/>
    <w:tmpl w:val="6E8A6740"/>
    <w:lvl w:ilvl="0" w:tentative="0">
      <w:start w:val="1"/>
      <w:numFmt w:val="lowerLetter"/>
      <w:lvlText w:val="%1）"/>
      <w:lvlJc w:val="left"/>
      <w:pPr>
        <w:tabs>
          <w:tab w:val="left" w:pos="744"/>
        </w:tabs>
        <w:ind w:left="744" w:hanging="420"/>
      </w:pPr>
      <w:rPr>
        <w:rFonts w:hint="eastAsia"/>
      </w:rPr>
    </w:lvl>
    <w:lvl w:ilvl="1" w:tentative="0">
      <w:start w:val="1"/>
      <w:numFmt w:val="lowerLetter"/>
      <w:lvlText w:val="%2)"/>
      <w:lvlJc w:val="left"/>
      <w:pPr>
        <w:tabs>
          <w:tab w:val="left" w:pos="1164"/>
        </w:tabs>
        <w:ind w:left="1164" w:hanging="420"/>
      </w:pPr>
    </w:lvl>
    <w:lvl w:ilvl="2" w:tentative="0">
      <w:start w:val="1"/>
      <w:numFmt w:val="lowerRoman"/>
      <w:lvlText w:val="%3."/>
      <w:lvlJc w:val="right"/>
      <w:pPr>
        <w:tabs>
          <w:tab w:val="left" w:pos="1584"/>
        </w:tabs>
        <w:ind w:left="1584" w:hanging="420"/>
      </w:pPr>
    </w:lvl>
    <w:lvl w:ilvl="3" w:tentative="0">
      <w:start w:val="1"/>
      <w:numFmt w:val="decimal"/>
      <w:lvlText w:val="%4."/>
      <w:lvlJc w:val="left"/>
      <w:pPr>
        <w:tabs>
          <w:tab w:val="left" w:pos="2004"/>
        </w:tabs>
        <w:ind w:left="2004" w:hanging="420"/>
      </w:pPr>
    </w:lvl>
    <w:lvl w:ilvl="4" w:tentative="0">
      <w:start w:val="1"/>
      <w:numFmt w:val="lowerLetter"/>
      <w:lvlText w:val="%5)"/>
      <w:lvlJc w:val="left"/>
      <w:pPr>
        <w:tabs>
          <w:tab w:val="left" w:pos="2424"/>
        </w:tabs>
        <w:ind w:left="2424" w:hanging="420"/>
      </w:pPr>
    </w:lvl>
    <w:lvl w:ilvl="5" w:tentative="0">
      <w:start w:val="1"/>
      <w:numFmt w:val="lowerRoman"/>
      <w:lvlText w:val="%6."/>
      <w:lvlJc w:val="right"/>
      <w:pPr>
        <w:tabs>
          <w:tab w:val="left" w:pos="2844"/>
        </w:tabs>
        <w:ind w:left="2844" w:hanging="420"/>
      </w:pPr>
    </w:lvl>
    <w:lvl w:ilvl="6" w:tentative="0">
      <w:start w:val="1"/>
      <w:numFmt w:val="decimal"/>
      <w:lvlText w:val="%7."/>
      <w:lvlJc w:val="left"/>
      <w:pPr>
        <w:tabs>
          <w:tab w:val="left" w:pos="3264"/>
        </w:tabs>
        <w:ind w:left="3264" w:hanging="420"/>
      </w:pPr>
    </w:lvl>
    <w:lvl w:ilvl="7" w:tentative="0">
      <w:start w:val="1"/>
      <w:numFmt w:val="lowerLetter"/>
      <w:lvlText w:val="%8)"/>
      <w:lvlJc w:val="left"/>
      <w:pPr>
        <w:tabs>
          <w:tab w:val="left" w:pos="3684"/>
        </w:tabs>
        <w:ind w:left="3684" w:hanging="420"/>
      </w:pPr>
    </w:lvl>
    <w:lvl w:ilvl="8" w:tentative="0">
      <w:start w:val="1"/>
      <w:numFmt w:val="lowerRoman"/>
      <w:lvlText w:val="%9."/>
      <w:lvlJc w:val="right"/>
      <w:pPr>
        <w:tabs>
          <w:tab w:val="left" w:pos="4104"/>
        </w:tabs>
        <w:ind w:left="4104" w:hanging="420"/>
      </w:pPr>
    </w:lvl>
  </w:abstractNum>
  <w:num w:numId="1">
    <w:abstractNumId w:val="9"/>
  </w:num>
  <w:num w:numId="2">
    <w:abstractNumId w:val="6"/>
  </w:num>
  <w:num w:numId="3">
    <w:abstractNumId w:val="8"/>
  </w:num>
  <w:num w:numId="4">
    <w:abstractNumId w:val="2"/>
  </w:num>
  <w:num w:numId="5">
    <w:abstractNumId w:val="10"/>
  </w:num>
  <w:num w:numId="6">
    <w:abstractNumId w:val="17"/>
  </w:num>
  <w:num w:numId="7">
    <w:abstractNumId w:val="0"/>
  </w:num>
  <w:num w:numId="8">
    <w:abstractNumId w:val="11"/>
  </w:num>
  <w:num w:numId="9">
    <w:abstractNumId w:val="4"/>
  </w:num>
  <w:num w:numId="10">
    <w:abstractNumId w:val="15"/>
  </w:num>
  <w:num w:numId="11">
    <w:abstractNumId w:val="13"/>
  </w:num>
  <w:num w:numId="12">
    <w:abstractNumId w:val="16"/>
  </w:num>
  <w:num w:numId="13">
    <w:abstractNumId w:val="7"/>
  </w:num>
  <w:num w:numId="14">
    <w:abstractNumId w:val="1"/>
  </w:num>
  <w:num w:numId="15">
    <w:abstractNumId w:val="3"/>
  </w:num>
  <w:num w:numId="16">
    <w:abstractNumId w:val="14"/>
  </w:num>
  <w:num w:numId="17">
    <w:abstractNumId w:val="12"/>
  </w:num>
  <w:num w:numId="18">
    <w:abstractNumId w:val="1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185F"/>
    <w:rsid w:val="0000586F"/>
    <w:rsid w:val="00011839"/>
    <w:rsid w:val="00013D86"/>
    <w:rsid w:val="00013E02"/>
    <w:rsid w:val="0001503F"/>
    <w:rsid w:val="0002143C"/>
    <w:rsid w:val="00022787"/>
    <w:rsid w:val="000237F1"/>
    <w:rsid w:val="00025A65"/>
    <w:rsid w:val="00025CC3"/>
    <w:rsid w:val="00026C31"/>
    <w:rsid w:val="00027280"/>
    <w:rsid w:val="00030046"/>
    <w:rsid w:val="000320A7"/>
    <w:rsid w:val="000337B4"/>
    <w:rsid w:val="000342C1"/>
    <w:rsid w:val="00034338"/>
    <w:rsid w:val="00035925"/>
    <w:rsid w:val="000379A1"/>
    <w:rsid w:val="000401EC"/>
    <w:rsid w:val="000461E9"/>
    <w:rsid w:val="00046D84"/>
    <w:rsid w:val="000527D1"/>
    <w:rsid w:val="00057A47"/>
    <w:rsid w:val="00064B51"/>
    <w:rsid w:val="00065BB6"/>
    <w:rsid w:val="00067CDF"/>
    <w:rsid w:val="000712DD"/>
    <w:rsid w:val="00074FBE"/>
    <w:rsid w:val="0008218A"/>
    <w:rsid w:val="00083A09"/>
    <w:rsid w:val="0009005E"/>
    <w:rsid w:val="00092857"/>
    <w:rsid w:val="000972C5"/>
    <w:rsid w:val="000A08B1"/>
    <w:rsid w:val="000A20A9"/>
    <w:rsid w:val="000A374A"/>
    <w:rsid w:val="000A48B1"/>
    <w:rsid w:val="000A6649"/>
    <w:rsid w:val="000A68E8"/>
    <w:rsid w:val="000A7106"/>
    <w:rsid w:val="000A7593"/>
    <w:rsid w:val="000B3143"/>
    <w:rsid w:val="000B59ED"/>
    <w:rsid w:val="000B5C7C"/>
    <w:rsid w:val="000B6DD2"/>
    <w:rsid w:val="000B6FCF"/>
    <w:rsid w:val="000C2A7F"/>
    <w:rsid w:val="000C2B77"/>
    <w:rsid w:val="000C58BA"/>
    <w:rsid w:val="000C6B05"/>
    <w:rsid w:val="000C6DD6"/>
    <w:rsid w:val="000C73D4"/>
    <w:rsid w:val="000D029A"/>
    <w:rsid w:val="000D3215"/>
    <w:rsid w:val="000D3D13"/>
    <w:rsid w:val="000D3D4C"/>
    <w:rsid w:val="000D4F51"/>
    <w:rsid w:val="000D604A"/>
    <w:rsid w:val="000D718B"/>
    <w:rsid w:val="000D7C4B"/>
    <w:rsid w:val="000E0C46"/>
    <w:rsid w:val="000F030C"/>
    <w:rsid w:val="000F0A9C"/>
    <w:rsid w:val="000F129C"/>
    <w:rsid w:val="000F1E36"/>
    <w:rsid w:val="000F201F"/>
    <w:rsid w:val="000F37D3"/>
    <w:rsid w:val="001056DE"/>
    <w:rsid w:val="001066DB"/>
    <w:rsid w:val="00107C67"/>
    <w:rsid w:val="001124C0"/>
    <w:rsid w:val="00112F46"/>
    <w:rsid w:val="00120262"/>
    <w:rsid w:val="001302A2"/>
    <w:rsid w:val="0013175F"/>
    <w:rsid w:val="00135559"/>
    <w:rsid w:val="0014574D"/>
    <w:rsid w:val="00146812"/>
    <w:rsid w:val="001507BB"/>
    <w:rsid w:val="00150806"/>
    <w:rsid w:val="001512B4"/>
    <w:rsid w:val="001550FA"/>
    <w:rsid w:val="00156BCE"/>
    <w:rsid w:val="001577BA"/>
    <w:rsid w:val="001577C7"/>
    <w:rsid w:val="001620A5"/>
    <w:rsid w:val="001626B5"/>
    <w:rsid w:val="001641A4"/>
    <w:rsid w:val="00164E53"/>
    <w:rsid w:val="0016551A"/>
    <w:rsid w:val="0016699D"/>
    <w:rsid w:val="00166B3E"/>
    <w:rsid w:val="00167DD2"/>
    <w:rsid w:val="00170068"/>
    <w:rsid w:val="00172221"/>
    <w:rsid w:val="00175159"/>
    <w:rsid w:val="00176208"/>
    <w:rsid w:val="00177ABF"/>
    <w:rsid w:val="00181644"/>
    <w:rsid w:val="0018211B"/>
    <w:rsid w:val="001840D3"/>
    <w:rsid w:val="001900F8"/>
    <w:rsid w:val="00191258"/>
    <w:rsid w:val="00192680"/>
    <w:rsid w:val="0019274F"/>
    <w:rsid w:val="00193037"/>
    <w:rsid w:val="001939E1"/>
    <w:rsid w:val="00193A2C"/>
    <w:rsid w:val="001941C5"/>
    <w:rsid w:val="00195FBB"/>
    <w:rsid w:val="001A0E4F"/>
    <w:rsid w:val="001A0F6A"/>
    <w:rsid w:val="001A2083"/>
    <w:rsid w:val="001A288E"/>
    <w:rsid w:val="001A415F"/>
    <w:rsid w:val="001B012D"/>
    <w:rsid w:val="001B5FE5"/>
    <w:rsid w:val="001B6DC2"/>
    <w:rsid w:val="001C149C"/>
    <w:rsid w:val="001C19DE"/>
    <w:rsid w:val="001C21AC"/>
    <w:rsid w:val="001C47BA"/>
    <w:rsid w:val="001C59EA"/>
    <w:rsid w:val="001C5F85"/>
    <w:rsid w:val="001D406C"/>
    <w:rsid w:val="001D41EE"/>
    <w:rsid w:val="001D4354"/>
    <w:rsid w:val="001E0380"/>
    <w:rsid w:val="001E0805"/>
    <w:rsid w:val="001E13B1"/>
    <w:rsid w:val="001E16E2"/>
    <w:rsid w:val="001E7ECF"/>
    <w:rsid w:val="001F3A19"/>
    <w:rsid w:val="001F42D3"/>
    <w:rsid w:val="002033BE"/>
    <w:rsid w:val="002163E0"/>
    <w:rsid w:val="0021724E"/>
    <w:rsid w:val="00226DDB"/>
    <w:rsid w:val="00227003"/>
    <w:rsid w:val="00230FCB"/>
    <w:rsid w:val="00231BA7"/>
    <w:rsid w:val="00234467"/>
    <w:rsid w:val="00237D8D"/>
    <w:rsid w:val="00241DA2"/>
    <w:rsid w:val="0024220D"/>
    <w:rsid w:val="00244881"/>
    <w:rsid w:val="00245F75"/>
    <w:rsid w:val="002460BD"/>
    <w:rsid w:val="002479A7"/>
    <w:rsid w:val="00247FEE"/>
    <w:rsid w:val="00250E7D"/>
    <w:rsid w:val="002565D5"/>
    <w:rsid w:val="0025747C"/>
    <w:rsid w:val="002622C0"/>
    <w:rsid w:val="00262339"/>
    <w:rsid w:val="00262AFA"/>
    <w:rsid w:val="002652CA"/>
    <w:rsid w:val="002664F7"/>
    <w:rsid w:val="00266E6E"/>
    <w:rsid w:val="0026720C"/>
    <w:rsid w:val="00274FF3"/>
    <w:rsid w:val="002757EE"/>
    <w:rsid w:val="002778AE"/>
    <w:rsid w:val="0028269A"/>
    <w:rsid w:val="002829B3"/>
    <w:rsid w:val="00283240"/>
    <w:rsid w:val="0028337D"/>
    <w:rsid w:val="00283590"/>
    <w:rsid w:val="00284467"/>
    <w:rsid w:val="00285824"/>
    <w:rsid w:val="0028635A"/>
    <w:rsid w:val="00286973"/>
    <w:rsid w:val="00286ACB"/>
    <w:rsid w:val="00294E70"/>
    <w:rsid w:val="002956CA"/>
    <w:rsid w:val="002A1924"/>
    <w:rsid w:val="002A1B27"/>
    <w:rsid w:val="002A7420"/>
    <w:rsid w:val="002B0F12"/>
    <w:rsid w:val="002B1308"/>
    <w:rsid w:val="002B3164"/>
    <w:rsid w:val="002B4554"/>
    <w:rsid w:val="002B73AE"/>
    <w:rsid w:val="002B7670"/>
    <w:rsid w:val="002C583D"/>
    <w:rsid w:val="002C72D8"/>
    <w:rsid w:val="002D11FA"/>
    <w:rsid w:val="002D12D9"/>
    <w:rsid w:val="002D3709"/>
    <w:rsid w:val="002E0DDF"/>
    <w:rsid w:val="002E2906"/>
    <w:rsid w:val="002E44B8"/>
    <w:rsid w:val="002E5635"/>
    <w:rsid w:val="002E64C3"/>
    <w:rsid w:val="002E6A2C"/>
    <w:rsid w:val="002F1D8C"/>
    <w:rsid w:val="002F21DA"/>
    <w:rsid w:val="002F56F4"/>
    <w:rsid w:val="003016CB"/>
    <w:rsid w:val="00301F39"/>
    <w:rsid w:val="00305568"/>
    <w:rsid w:val="003108EA"/>
    <w:rsid w:val="00311C3B"/>
    <w:rsid w:val="003129E4"/>
    <w:rsid w:val="00314CB6"/>
    <w:rsid w:val="00316727"/>
    <w:rsid w:val="00325926"/>
    <w:rsid w:val="0032699C"/>
    <w:rsid w:val="00327A8A"/>
    <w:rsid w:val="00333548"/>
    <w:rsid w:val="003361EA"/>
    <w:rsid w:val="00336610"/>
    <w:rsid w:val="00341B61"/>
    <w:rsid w:val="003431B8"/>
    <w:rsid w:val="00343F73"/>
    <w:rsid w:val="00345060"/>
    <w:rsid w:val="0035323B"/>
    <w:rsid w:val="003609D2"/>
    <w:rsid w:val="00360BF9"/>
    <w:rsid w:val="00361C00"/>
    <w:rsid w:val="00362159"/>
    <w:rsid w:val="00363B2D"/>
    <w:rsid w:val="00363F22"/>
    <w:rsid w:val="00364437"/>
    <w:rsid w:val="00365493"/>
    <w:rsid w:val="00373A81"/>
    <w:rsid w:val="003746F3"/>
    <w:rsid w:val="00375564"/>
    <w:rsid w:val="00377362"/>
    <w:rsid w:val="00382F21"/>
    <w:rsid w:val="00383191"/>
    <w:rsid w:val="00386DED"/>
    <w:rsid w:val="003912E7"/>
    <w:rsid w:val="00393947"/>
    <w:rsid w:val="00393D64"/>
    <w:rsid w:val="0039582C"/>
    <w:rsid w:val="00397347"/>
    <w:rsid w:val="003A2275"/>
    <w:rsid w:val="003A6A4F"/>
    <w:rsid w:val="003A7088"/>
    <w:rsid w:val="003B00DF"/>
    <w:rsid w:val="003B0713"/>
    <w:rsid w:val="003B1275"/>
    <w:rsid w:val="003B1778"/>
    <w:rsid w:val="003B2039"/>
    <w:rsid w:val="003B4908"/>
    <w:rsid w:val="003C11CB"/>
    <w:rsid w:val="003C3B6A"/>
    <w:rsid w:val="003C75F3"/>
    <w:rsid w:val="003C78A3"/>
    <w:rsid w:val="003D0867"/>
    <w:rsid w:val="003D1AFD"/>
    <w:rsid w:val="003E1867"/>
    <w:rsid w:val="003E1D7B"/>
    <w:rsid w:val="003E5729"/>
    <w:rsid w:val="003F12DF"/>
    <w:rsid w:val="003F4E3D"/>
    <w:rsid w:val="003F4EE0"/>
    <w:rsid w:val="004015BF"/>
    <w:rsid w:val="00402153"/>
    <w:rsid w:val="00402F26"/>
    <w:rsid w:val="00402FC1"/>
    <w:rsid w:val="00414BDD"/>
    <w:rsid w:val="00414EE2"/>
    <w:rsid w:val="00425082"/>
    <w:rsid w:val="0043106F"/>
    <w:rsid w:val="00431DEB"/>
    <w:rsid w:val="00434064"/>
    <w:rsid w:val="0044209B"/>
    <w:rsid w:val="0044605A"/>
    <w:rsid w:val="00446B29"/>
    <w:rsid w:val="0045354C"/>
    <w:rsid w:val="00453F9A"/>
    <w:rsid w:val="00454964"/>
    <w:rsid w:val="00454E9E"/>
    <w:rsid w:val="00456539"/>
    <w:rsid w:val="004578BE"/>
    <w:rsid w:val="004620AC"/>
    <w:rsid w:val="00463F7D"/>
    <w:rsid w:val="004665A6"/>
    <w:rsid w:val="00471E91"/>
    <w:rsid w:val="00474675"/>
    <w:rsid w:val="0047470C"/>
    <w:rsid w:val="004805B1"/>
    <w:rsid w:val="00481440"/>
    <w:rsid w:val="00484B27"/>
    <w:rsid w:val="004857C8"/>
    <w:rsid w:val="00487FB6"/>
    <w:rsid w:val="00490724"/>
    <w:rsid w:val="00490F12"/>
    <w:rsid w:val="00491BFD"/>
    <w:rsid w:val="00491F70"/>
    <w:rsid w:val="00493809"/>
    <w:rsid w:val="004A35F9"/>
    <w:rsid w:val="004A6A17"/>
    <w:rsid w:val="004B0E31"/>
    <w:rsid w:val="004B24C1"/>
    <w:rsid w:val="004B2B43"/>
    <w:rsid w:val="004B44B1"/>
    <w:rsid w:val="004C292F"/>
    <w:rsid w:val="004C7317"/>
    <w:rsid w:val="004D102F"/>
    <w:rsid w:val="004D3F71"/>
    <w:rsid w:val="004D6E2A"/>
    <w:rsid w:val="004E1E2C"/>
    <w:rsid w:val="004E40E1"/>
    <w:rsid w:val="004E65CC"/>
    <w:rsid w:val="004E6894"/>
    <w:rsid w:val="004F3930"/>
    <w:rsid w:val="004F7BAE"/>
    <w:rsid w:val="00502D23"/>
    <w:rsid w:val="00510280"/>
    <w:rsid w:val="005106A7"/>
    <w:rsid w:val="00512A3E"/>
    <w:rsid w:val="00513D73"/>
    <w:rsid w:val="00514A43"/>
    <w:rsid w:val="00516A83"/>
    <w:rsid w:val="005174E5"/>
    <w:rsid w:val="0052172C"/>
    <w:rsid w:val="00522393"/>
    <w:rsid w:val="00522620"/>
    <w:rsid w:val="0052292A"/>
    <w:rsid w:val="00522CD2"/>
    <w:rsid w:val="00524248"/>
    <w:rsid w:val="00525656"/>
    <w:rsid w:val="005276B5"/>
    <w:rsid w:val="00532F80"/>
    <w:rsid w:val="00534C02"/>
    <w:rsid w:val="0053628C"/>
    <w:rsid w:val="0054264B"/>
    <w:rsid w:val="00543786"/>
    <w:rsid w:val="00543E52"/>
    <w:rsid w:val="00544960"/>
    <w:rsid w:val="00547B66"/>
    <w:rsid w:val="005518A0"/>
    <w:rsid w:val="005533D7"/>
    <w:rsid w:val="005538EA"/>
    <w:rsid w:val="00557DCD"/>
    <w:rsid w:val="005655E4"/>
    <w:rsid w:val="005703DE"/>
    <w:rsid w:val="00573AE4"/>
    <w:rsid w:val="00574945"/>
    <w:rsid w:val="00580D51"/>
    <w:rsid w:val="0058464E"/>
    <w:rsid w:val="00587E9A"/>
    <w:rsid w:val="005A004D"/>
    <w:rsid w:val="005A0125"/>
    <w:rsid w:val="005A01CB"/>
    <w:rsid w:val="005A07ED"/>
    <w:rsid w:val="005A2D63"/>
    <w:rsid w:val="005A58FF"/>
    <w:rsid w:val="005A5EAF"/>
    <w:rsid w:val="005A64C0"/>
    <w:rsid w:val="005B2345"/>
    <w:rsid w:val="005B3C11"/>
    <w:rsid w:val="005B6B6A"/>
    <w:rsid w:val="005C1C28"/>
    <w:rsid w:val="005C3482"/>
    <w:rsid w:val="005C56E9"/>
    <w:rsid w:val="005C6DB5"/>
    <w:rsid w:val="005D0F50"/>
    <w:rsid w:val="005D7186"/>
    <w:rsid w:val="005E19E7"/>
    <w:rsid w:val="005E35E0"/>
    <w:rsid w:val="005E411D"/>
    <w:rsid w:val="005E527B"/>
    <w:rsid w:val="005E58B8"/>
    <w:rsid w:val="005E5BB9"/>
    <w:rsid w:val="005E67AA"/>
    <w:rsid w:val="005F205A"/>
    <w:rsid w:val="005F3435"/>
    <w:rsid w:val="00600901"/>
    <w:rsid w:val="00601ED3"/>
    <w:rsid w:val="00604132"/>
    <w:rsid w:val="00614C24"/>
    <w:rsid w:val="0061716C"/>
    <w:rsid w:val="00623BB3"/>
    <w:rsid w:val="006243A1"/>
    <w:rsid w:val="00632E56"/>
    <w:rsid w:val="00635CBA"/>
    <w:rsid w:val="0064230B"/>
    <w:rsid w:val="0064338B"/>
    <w:rsid w:val="00646542"/>
    <w:rsid w:val="006504F4"/>
    <w:rsid w:val="00654BC9"/>
    <w:rsid w:val="006552FD"/>
    <w:rsid w:val="0066019B"/>
    <w:rsid w:val="00663AF3"/>
    <w:rsid w:val="00663AF9"/>
    <w:rsid w:val="006653D9"/>
    <w:rsid w:val="00665407"/>
    <w:rsid w:val="0066545F"/>
    <w:rsid w:val="00666B6C"/>
    <w:rsid w:val="006670E2"/>
    <w:rsid w:val="00680988"/>
    <w:rsid w:val="00681B41"/>
    <w:rsid w:val="00681F15"/>
    <w:rsid w:val="00682682"/>
    <w:rsid w:val="00682702"/>
    <w:rsid w:val="00692368"/>
    <w:rsid w:val="00693D7E"/>
    <w:rsid w:val="00694684"/>
    <w:rsid w:val="006A2BC7"/>
    <w:rsid w:val="006A2EBC"/>
    <w:rsid w:val="006A4782"/>
    <w:rsid w:val="006A5EA0"/>
    <w:rsid w:val="006A783B"/>
    <w:rsid w:val="006A7B33"/>
    <w:rsid w:val="006B4E13"/>
    <w:rsid w:val="006B75DD"/>
    <w:rsid w:val="006C3E2A"/>
    <w:rsid w:val="006C4069"/>
    <w:rsid w:val="006C5E59"/>
    <w:rsid w:val="006C67E0"/>
    <w:rsid w:val="006C7ABA"/>
    <w:rsid w:val="006D0CDE"/>
    <w:rsid w:val="006D0D60"/>
    <w:rsid w:val="006D1122"/>
    <w:rsid w:val="006D1361"/>
    <w:rsid w:val="006D3C00"/>
    <w:rsid w:val="006D4A5C"/>
    <w:rsid w:val="006E3675"/>
    <w:rsid w:val="006E4A7F"/>
    <w:rsid w:val="006E6737"/>
    <w:rsid w:val="00704C74"/>
    <w:rsid w:val="00704DF6"/>
    <w:rsid w:val="0070651C"/>
    <w:rsid w:val="00710BDB"/>
    <w:rsid w:val="00712CF7"/>
    <w:rsid w:val="007132A3"/>
    <w:rsid w:val="00716421"/>
    <w:rsid w:val="00716734"/>
    <w:rsid w:val="00717529"/>
    <w:rsid w:val="00724EFB"/>
    <w:rsid w:val="007311D8"/>
    <w:rsid w:val="00732045"/>
    <w:rsid w:val="00736D4C"/>
    <w:rsid w:val="007419C3"/>
    <w:rsid w:val="007467A7"/>
    <w:rsid w:val="007469DD"/>
    <w:rsid w:val="0074741B"/>
    <w:rsid w:val="0074759E"/>
    <w:rsid w:val="007478EA"/>
    <w:rsid w:val="0075415C"/>
    <w:rsid w:val="0076166D"/>
    <w:rsid w:val="00763502"/>
    <w:rsid w:val="00771784"/>
    <w:rsid w:val="00772E52"/>
    <w:rsid w:val="00775446"/>
    <w:rsid w:val="00776A72"/>
    <w:rsid w:val="00780E9F"/>
    <w:rsid w:val="007913AB"/>
    <w:rsid w:val="007914F7"/>
    <w:rsid w:val="00797D9F"/>
    <w:rsid w:val="007B1605"/>
    <w:rsid w:val="007B1625"/>
    <w:rsid w:val="007B560F"/>
    <w:rsid w:val="007B7040"/>
    <w:rsid w:val="007B706E"/>
    <w:rsid w:val="007B71EB"/>
    <w:rsid w:val="007C05A6"/>
    <w:rsid w:val="007C1616"/>
    <w:rsid w:val="007C6205"/>
    <w:rsid w:val="007C686A"/>
    <w:rsid w:val="007C728E"/>
    <w:rsid w:val="007D0BAD"/>
    <w:rsid w:val="007D0BBD"/>
    <w:rsid w:val="007D2C53"/>
    <w:rsid w:val="007D3D60"/>
    <w:rsid w:val="007D6809"/>
    <w:rsid w:val="007E1980"/>
    <w:rsid w:val="007E40C6"/>
    <w:rsid w:val="007E4B76"/>
    <w:rsid w:val="007E5EA8"/>
    <w:rsid w:val="007F0CF1"/>
    <w:rsid w:val="007F12A5"/>
    <w:rsid w:val="007F4CF1"/>
    <w:rsid w:val="007F58BD"/>
    <w:rsid w:val="007F758D"/>
    <w:rsid w:val="007F7D52"/>
    <w:rsid w:val="00801B57"/>
    <w:rsid w:val="00801B7B"/>
    <w:rsid w:val="0080654C"/>
    <w:rsid w:val="008071C6"/>
    <w:rsid w:val="008122FC"/>
    <w:rsid w:val="00813187"/>
    <w:rsid w:val="00813994"/>
    <w:rsid w:val="00817A00"/>
    <w:rsid w:val="008204AA"/>
    <w:rsid w:val="00823C16"/>
    <w:rsid w:val="00825C63"/>
    <w:rsid w:val="00835DB3"/>
    <w:rsid w:val="0083617B"/>
    <w:rsid w:val="008371BD"/>
    <w:rsid w:val="00837657"/>
    <w:rsid w:val="00837998"/>
    <w:rsid w:val="008423E8"/>
    <w:rsid w:val="008504A8"/>
    <w:rsid w:val="0085282E"/>
    <w:rsid w:val="0086378B"/>
    <w:rsid w:val="00867699"/>
    <w:rsid w:val="00871411"/>
    <w:rsid w:val="0087198C"/>
    <w:rsid w:val="00872AE2"/>
    <w:rsid w:val="00872C1F"/>
    <w:rsid w:val="00873029"/>
    <w:rsid w:val="00873B42"/>
    <w:rsid w:val="00874E4F"/>
    <w:rsid w:val="00882418"/>
    <w:rsid w:val="008830D4"/>
    <w:rsid w:val="0088350D"/>
    <w:rsid w:val="008856D8"/>
    <w:rsid w:val="008867D6"/>
    <w:rsid w:val="00892E82"/>
    <w:rsid w:val="00897FA7"/>
    <w:rsid w:val="008A4435"/>
    <w:rsid w:val="008C1B58"/>
    <w:rsid w:val="008C39AE"/>
    <w:rsid w:val="008C46CD"/>
    <w:rsid w:val="008C590D"/>
    <w:rsid w:val="008C743A"/>
    <w:rsid w:val="008D3653"/>
    <w:rsid w:val="008E031B"/>
    <w:rsid w:val="008E0930"/>
    <w:rsid w:val="008E213D"/>
    <w:rsid w:val="008E3D4C"/>
    <w:rsid w:val="008E48E3"/>
    <w:rsid w:val="008E7029"/>
    <w:rsid w:val="008E71CC"/>
    <w:rsid w:val="008E7EF6"/>
    <w:rsid w:val="008F0F24"/>
    <w:rsid w:val="008F1F98"/>
    <w:rsid w:val="008F3A0F"/>
    <w:rsid w:val="008F6758"/>
    <w:rsid w:val="008F7470"/>
    <w:rsid w:val="009040DD"/>
    <w:rsid w:val="00905B47"/>
    <w:rsid w:val="0091331C"/>
    <w:rsid w:val="0091695B"/>
    <w:rsid w:val="009279DE"/>
    <w:rsid w:val="00930116"/>
    <w:rsid w:val="00934AD2"/>
    <w:rsid w:val="009362A0"/>
    <w:rsid w:val="00936A51"/>
    <w:rsid w:val="0094212C"/>
    <w:rsid w:val="00952FAE"/>
    <w:rsid w:val="00954689"/>
    <w:rsid w:val="0095508F"/>
    <w:rsid w:val="00955CBF"/>
    <w:rsid w:val="00956898"/>
    <w:rsid w:val="009617C9"/>
    <w:rsid w:val="00961C93"/>
    <w:rsid w:val="00964BF1"/>
    <w:rsid w:val="00965324"/>
    <w:rsid w:val="0097091E"/>
    <w:rsid w:val="009760D3"/>
    <w:rsid w:val="00977132"/>
    <w:rsid w:val="0098004C"/>
    <w:rsid w:val="00981A4B"/>
    <w:rsid w:val="00982501"/>
    <w:rsid w:val="00983F1C"/>
    <w:rsid w:val="00984264"/>
    <w:rsid w:val="00985B84"/>
    <w:rsid w:val="0098603A"/>
    <w:rsid w:val="009877D3"/>
    <w:rsid w:val="00993FA3"/>
    <w:rsid w:val="00994E8F"/>
    <w:rsid w:val="00995043"/>
    <w:rsid w:val="009951DC"/>
    <w:rsid w:val="00995712"/>
    <w:rsid w:val="009959BB"/>
    <w:rsid w:val="00997158"/>
    <w:rsid w:val="009971C9"/>
    <w:rsid w:val="009A15EF"/>
    <w:rsid w:val="009A1A77"/>
    <w:rsid w:val="009A3A7C"/>
    <w:rsid w:val="009A5F98"/>
    <w:rsid w:val="009B2ADB"/>
    <w:rsid w:val="009B5DAF"/>
    <w:rsid w:val="009B603A"/>
    <w:rsid w:val="009C028D"/>
    <w:rsid w:val="009C0EBC"/>
    <w:rsid w:val="009C2D0E"/>
    <w:rsid w:val="009C3DAC"/>
    <w:rsid w:val="009C42E0"/>
    <w:rsid w:val="009D2825"/>
    <w:rsid w:val="009D5362"/>
    <w:rsid w:val="009E1415"/>
    <w:rsid w:val="009E2713"/>
    <w:rsid w:val="009E6116"/>
    <w:rsid w:val="009F6686"/>
    <w:rsid w:val="00A02E43"/>
    <w:rsid w:val="00A04AE5"/>
    <w:rsid w:val="00A06219"/>
    <w:rsid w:val="00A065F9"/>
    <w:rsid w:val="00A07A81"/>
    <w:rsid w:val="00A07F34"/>
    <w:rsid w:val="00A10142"/>
    <w:rsid w:val="00A115F8"/>
    <w:rsid w:val="00A12C17"/>
    <w:rsid w:val="00A15490"/>
    <w:rsid w:val="00A22154"/>
    <w:rsid w:val="00A22434"/>
    <w:rsid w:val="00A25C38"/>
    <w:rsid w:val="00A36BBE"/>
    <w:rsid w:val="00A37B30"/>
    <w:rsid w:val="00A4307A"/>
    <w:rsid w:val="00A47464"/>
    <w:rsid w:val="00A47EBB"/>
    <w:rsid w:val="00A51067"/>
    <w:rsid w:val="00A51CDD"/>
    <w:rsid w:val="00A5414F"/>
    <w:rsid w:val="00A5519C"/>
    <w:rsid w:val="00A5583A"/>
    <w:rsid w:val="00A5766C"/>
    <w:rsid w:val="00A63BE8"/>
    <w:rsid w:val="00A64BF0"/>
    <w:rsid w:val="00A6730D"/>
    <w:rsid w:val="00A67884"/>
    <w:rsid w:val="00A67BAF"/>
    <w:rsid w:val="00A67D13"/>
    <w:rsid w:val="00A71625"/>
    <w:rsid w:val="00A71821"/>
    <w:rsid w:val="00A71B9B"/>
    <w:rsid w:val="00A72132"/>
    <w:rsid w:val="00A751C7"/>
    <w:rsid w:val="00A77041"/>
    <w:rsid w:val="00A81632"/>
    <w:rsid w:val="00A81E10"/>
    <w:rsid w:val="00A83E43"/>
    <w:rsid w:val="00A84D17"/>
    <w:rsid w:val="00A87844"/>
    <w:rsid w:val="00A91AEA"/>
    <w:rsid w:val="00A92603"/>
    <w:rsid w:val="00A938E3"/>
    <w:rsid w:val="00A93921"/>
    <w:rsid w:val="00A971CB"/>
    <w:rsid w:val="00A979DD"/>
    <w:rsid w:val="00AA038C"/>
    <w:rsid w:val="00AA2389"/>
    <w:rsid w:val="00AA4F97"/>
    <w:rsid w:val="00AA7A09"/>
    <w:rsid w:val="00AB2CA8"/>
    <w:rsid w:val="00AB3B50"/>
    <w:rsid w:val="00AB5AD9"/>
    <w:rsid w:val="00AC04E6"/>
    <w:rsid w:val="00AC05B1"/>
    <w:rsid w:val="00AC3259"/>
    <w:rsid w:val="00AC56AF"/>
    <w:rsid w:val="00AD0975"/>
    <w:rsid w:val="00AD356C"/>
    <w:rsid w:val="00AD5EF6"/>
    <w:rsid w:val="00AE1D7C"/>
    <w:rsid w:val="00AE2914"/>
    <w:rsid w:val="00AE6D15"/>
    <w:rsid w:val="00AE7791"/>
    <w:rsid w:val="00AF42F6"/>
    <w:rsid w:val="00AF57E8"/>
    <w:rsid w:val="00B04182"/>
    <w:rsid w:val="00B07AE3"/>
    <w:rsid w:val="00B11430"/>
    <w:rsid w:val="00B144E2"/>
    <w:rsid w:val="00B14C09"/>
    <w:rsid w:val="00B15A2A"/>
    <w:rsid w:val="00B20964"/>
    <w:rsid w:val="00B238EA"/>
    <w:rsid w:val="00B34BDB"/>
    <w:rsid w:val="00B353EB"/>
    <w:rsid w:val="00B4183F"/>
    <w:rsid w:val="00B439C4"/>
    <w:rsid w:val="00B44D86"/>
    <w:rsid w:val="00B4535E"/>
    <w:rsid w:val="00B45383"/>
    <w:rsid w:val="00B45968"/>
    <w:rsid w:val="00B47DD0"/>
    <w:rsid w:val="00B501CC"/>
    <w:rsid w:val="00B52A8C"/>
    <w:rsid w:val="00B53FC7"/>
    <w:rsid w:val="00B56A0C"/>
    <w:rsid w:val="00B57AA7"/>
    <w:rsid w:val="00B6003C"/>
    <w:rsid w:val="00B608FD"/>
    <w:rsid w:val="00B60A33"/>
    <w:rsid w:val="00B627BE"/>
    <w:rsid w:val="00B636A8"/>
    <w:rsid w:val="00B63FE0"/>
    <w:rsid w:val="00B659EB"/>
    <w:rsid w:val="00B665C6"/>
    <w:rsid w:val="00B666E2"/>
    <w:rsid w:val="00B66FF2"/>
    <w:rsid w:val="00B6797F"/>
    <w:rsid w:val="00B750D4"/>
    <w:rsid w:val="00B805AF"/>
    <w:rsid w:val="00B8310E"/>
    <w:rsid w:val="00B869EC"/>
    <w:rsid w:val="00B91B04"/>
    <w:rsid w:val="00B9397A"/>
    <w:rsid w:val="00B9633D"/>
    <w:rsid w:val="00B97329"/>
    <w:rsid w:val="00BA25BD"/>
    <w:rsid w:val="00BA2EBE"/>
    <w:rsid w:val="00BA44A7"/>
    <w:rsid w:val="00BA6BBE"/>
    <w:rsid w:val="00BB0372"/>
    <w:rsid w:val="00BB0F28"/>
    <w:rsid w:val="00BB458A"/>
    <w:rsid w:val="00BC0A84"/>
    <w:rsid w:val="00BC0BC2"/>
    <w:rsid w:val="00BD00D3"/>
    <w:rsid w:val="00BD0FE1"/>
    <w:rsid w:val="00BD12D0"/>
    <w:rsid w:val="00BD142A"/>
    <w:rsid w:val="00BD1659"/>
    <w:rsid w:val="00BD2A28"/>
    <w:rsid w:val="00BD3AA9"/>
    <w:rsid w:val="00BD3FE1"/>
    <w:rsid w:val="00BD4A18"/>
    <w:rsid w:val="00BD6DB2"/>
    <w:rsid w:val="00BE11CF"/>
    <w:rsid w:val="00BE21AB"/>
    <w:rsid w:val="00BE55CB"/>
    <w:rsid w:val="00BF137A"/>
    <w:rsid w:val="00BF4A44"/>
    <w:rsid w:val="00BF5A1B"/>
    <w:rsid w:val="00BF617A"/>
    <w:rsid w:val="00BF6C18"/>
    <w:rsid w:val="00BF6D68"/>
    <w:rsid w:val="00C030FC"/>
    <w:rsid w:val="00C0379D"/>
    <w:rsid w:val="00C03931"/>
    <w:rsid w:val="00C04FBD"/>
    <w:rsid w:val="00C05FE3"/>
    <w:rsid w:val="00C2136D"/>
    <w:rsid w:val="00C214EE"/>
    <w:rsid w:val="00C2314B"/>
    <w:rsid w:val="00C24971"/>
    <w:rsid w:val="00C258B4"/>
    <w:rsid w:val="00C26BE5"/>
    <w:rsid w:val="00C26E4D"/>
    <w:rsid w:val="00C27909"/>
    <w:rsid w:val="00C27B03"/>
    <w:rsid w:val="00C314E1"/>
    <w:rsid w:val="00C34397"/>
    <w:rsid w:val="00C3515B"/>
    <w:rsid w:val="00C4095D"/>
    <w:rsid w:val="00C4147C"/>
    <w:rsid w:val="00C42F09"/>
    <w:rsid w:val="00C45055"/>
    <w:rsid w:val="00C51066"/>
    <w:rsid w:val="00C55B69"/>
    <w:rsid w:val="00C569B9"/>
    <w:rsid w:val="00C601D2"/>
    <w:rsid w:val="00C63388"/>
    <w:rsid w:val="00C65BCC"/>
    <w:rsid w:val="00C66970"/>
    <w:rsid w:val="00C735D0"/>
    <w:rsid w:val="00C7378F"/>
    <w:rsid w:val="00C8203B"/>
    <w:rsid w:val="00C83918"/>
    <w:rsid w:val="00C8691C"/>
    <w:rsid w:val="00C86E12"/>
    <w:rsid w:val="00C948E1"/>
    <w:rsid w:val="00C94AE9"/>
    <w:rsid w:val="00CA168A"/>
    <w:rsid w:val="00CA357E"/>
    <w:rsid w:val="00CA44F9"/>
    <w:rsid w:val="00CA4A69"/>
    <w:rsid w:val="00CA5C3B"/>
    <w:rsid w:val="00CC1C62"/>
    <w:rsid w:val="00CC3E0C"/>
    <w:rsid w:val="00CC58D3"/>
    <w:rsid w:val="00CC65C4"/>
    <w:rsid w:val="00CC784D"/>
    <w:rsid w:val="00CE1076"/>
    <w:rsid w:val="00CE1860"/>
    <w:rsid w:val="00CE1CA7"/>
    <w:rsid w:val="00CF057E"/>
    <w:rsid w:val="00CF0713"/>
    <w:rsid w:val="00CF0885"/>
    <w:rsid w:val="00CF0EF3"/>
    <w:rsid w:val="00CF74A6"/>
    <w:rsid w:val="00D02EE5"/>
    <w:rsid w:val="00D0337B"/>
    <w:rsid w:val="00D079B2"/>
    <w:rsid w:val="00D114E9"/>
    <w:rsid w:val="00D14434"/>
    <w:rsid w:val="00D14F0D"/>
    <w:rsid w:val="00D20943"/>
    <w:rsid w:val="00D306CF"/>
    <w:rsid w:val="00D36184"/>
    <w:rsid w:val="00D372CC"/>
    <w:rsid w:val="00D429C6"/>
    <w:rsid w:val="00D47748"/>
    <w:rsid w:val="00D510FF"/>
    <w:rsid w:val="00D5163B"/>
    <w:rsid w:val="00D54CC3"/>
    <w:rsid w:val="00D601F2"/>
    <w:rsid w:val="00D6041A"/>
    <w:rsid w:val="00D61F13"/>
    <w:rsid w:val="00D633EB"/>
    <w:rsid w:val="00D663FF"/>
    <w:rsid w:val="00D71894"/>
    <w:rsid w:val="00D7379D"/>
    <w:rsid w:val="00D7776B"/>
    <w:rsid w:val="00D82FF7"/>
    <w:rsid w:val="00D840D0"/>
    <w:rsid w:val="00D847FE"/>
    <w:rsid w:val="00D9390D"/>
    <w:rsid w:val="00D9544C"/>
    <w:rsid w:val="00D964EA"/>
    <w:rsid w:val="00D966D0"/>
    <w:rsid w:val="00DA0837"/>
    <w:rsid w:val="00DA0C59"/>
    <w:rsid w:val="00DA1677"/>
    <w:rsid w:val="00DA38AB"/>
    <w:rsid w:val="00DA3991"/>
    <w:rsid w:val="00DA765F"/>
    <w:rsid w:val="00DB37DD"/>
    <w:rsid w:val="00DB380A"/>
    <w:rsid w:val="00DB43BE"/>
    <w:rsid w:val="00DB7E6C"/>
    <w:rsid w:val="00DC016D"/>
    <w:rsid w:val="00DC2E47"/>
    <w:rsid w:val="00DD45B5"/>
    <w:rsid w:val="00DD5A29"/>
    <w:rsid w:val="00DD5D9D"/>
    <w:rsid w:val="00DE223E"/>
    <w:rsid w:val="00DE35CB"/>
    <w:rsid w:val="00DE4FBC"/>
    <w:rsid w:val="00DE6238"/>
    <w:rsid w:val="00DF21E9"/>
    <w:rsid w:val="00DF718F"/>
    <w:rsid w:val="00E0043C"/>
    <w:rsid w:val="00E00F14"/>
    <w:rsid w:val="00E02C6B"/>
    <w:rsid w:val="00E04AD9"/>
    <w:rsid w:val="00E06386"/>
    <w:rsid w:val="00E119AC"/>
    <w:rsid w:val="00E123B9"/>
    <w:rsid w:val="00E22184"/>
    <w:rsid w:val="00E24EB4"/>
    <w:rsid w:val="00E26B6E"/>
    <w:rsid w:val="00E320ED"/>
    <w:rsid w:val="00E33AFB"/>
    <w:rsid w:val="00E34218"/>
    <w:rsid w:val="00E355CE"/>
    <w:rsid w:val="00E4296D"/>
    <w:rsid w:val="00E42BE9"/>
    <w:rsid w:val="00E43642"/>
    <w:rsid w:val="00E43F0E"/>
    <w:rsid w:val="00E44D18"/>
    <w:rsid w:val="00E44EA8"/>
    <w:rsid w:val="00E4549E"/>
    <w:rsid w:val="00E46282"/>
    <w:rsid w:val="00E5216E"/>
    <w:rsid w:val="00E537D3"/>
    <w:rsid w:val="00E558FA"/>
    <w:rsid w:val="00E57041"/>
    <w:rsid w:val="00E626CB"/>
    <w:rsid w:val="00E63601"/>
    <w:rsid w:val="00E63D0D"/>
    <w:rsid w:val="00E65093"/>
    <w:rsid w:val="00E6789E"/>
    <w:rsid w:val="00E7026D"/>
    <w:rsid w:val="00E70358"/>
    <w:rsid w:val="00E7064E"/>
    <w:rsid w:val="00E7295E"/>
    <w:rsid w:val="00E742B7"/>
    <w:rsid w:val="00E82344"/>
    <w:rsid w:val="00E836D1"/>
    <w:rsid w:val="00E84C82"/>
    <w:rsid w:val="00E84D64"/>
    <w:rsid w:val="00E85244"/>
    <w:rsid w:val="00E8539C"/>
    <w:rsid w:val="00E87408"/>
    <w:rsid w:val="00E9091F"/>
    <w:rsid w:val="00E914C4"/>
    <w:rsid w:val="00E92F60"/>
    <w:rsid w:val="00E934F5"/>
    <w:rsid w:val="00E93B26"/>
    <w:rsid w:val="00E96961"/>
    <w:rsid w:val="00EA11AF"/>
    <w:rsid w:val="00EA2265"/>
    <w:rsid w:val="00EA2505"/>
    <w:rsid w:val="00EA2979"/>
    <w:rsid w:val="00EA4EB3"/>
    <w:rsid w:val="00EA72EC"/>
    <w:rsid w:val="00EB11CB"/>
    <w:rsid w:val="00EB275A"/>
    <w:rsid w:val="00EB37A5"/>
    <w:rsid w:val="00EB3F3B"/>
    <w:rsid w:val="00EB45C7"/>
    <w:rsid w:val="00EB548F"/>
    <w:rsid w:val="00EB786A"/>
    <w:rsid w:val="00EC1578"/>
    <w:rsid w:val="00EC1C72"/>
    <w:rsid w:val="00EC3CC9"/>
    <w:rsid w:val="00EC680A"/>
    <w:rsid w:val="00EC750C"/>
    <w:rsid w:val="00ED125A"/>
    <w:rsid w:val="00ED1C36"/>
    <w:rsid w:val="00ED1DA7"/>
    <w:rsid w:val="00ED247F"/>
    <w:rsid w:val="00EE1F2E"/>
    <w:rsid w:val="00EE2BED"/>
    <w:rsid w:val="00EE374B"/>
    <w:rsid w:val="00EE6AD0"/>
    <w:rsid w:val="00EF25A2"/>
    <w:rsid w:val="00EF52CD"/>
    <w:rsid w:val="00EF74EB"/>
    <w:rsid w:val="00F01767"/>
    <w:rsid w:val="00F10E85"/>
    <w:rsid w:val="00F11BB5"/>
    <w:rsid w:val="00F1417B"/>
    <w:rsid w:val="00F150A4"/>
    <w:rsid w:val="00F219F9"/>
    <w:rsid w:val="00F24F13"/>
    <w:rsid w:val="00F27619"/>
    <w:rsid w:val="00F34B99"/>
    <w:rsid w:val="00F37869"/>
    <w:rsid w:val="00F40897"/>
    <w:rsid w:val="00F41DFA"/>
    <w:rsid w:val="00F434CB"/>
    <w:rsid w:val="00F43A97"/>
    <w:rsid w:val="00F52DAB"/>
    <w:rsid w:val="00F543F0"/>
    <w:rsid w:val="00F576A4"/>
    <w:rsid w:val="00F75652"/>
    <w:rsid w:val="00F75FB5"/>
    <w:rsid w:val="00F77EA0"/>
    <w:rsid w:val="00F80868"/>
    <w:rsid w:val="00F81D29"/>
    <w:rsid w:val="00F91C4D"/>
    <w:rsid w:val="00F92FD9"/>
    <w:rsid w:val="00F93B4F"/>
    <w:rsid w:val="00FA0CEB"/>
    <w:rsid w:val="00FA6684"/>
    <w:rsid w:val="00FA731E"/>
    <w:rsid w:val="00FB2B38"/>
    <w:rsid w:val="00FB5E41"/>
    <w:rsid w:val="00FC1690"/>
    <w:rsid w:val="00FC1E4A"/>
    <w:rsid w:val="00FC6358"/>
    <w:rsid w:val="00FD008D"/>
    <w:rsid w:val="00FD2BF0"/>
    <w:rsid w:val="00FD320D"/>
    <w:rsid w:val="00FD386A"/>
    <w:rsid w:val="00FD55EB"/>
    <w:rsid w:val="00FE036B"/>
    <w:rsid w:val="00FE23DE"/>
    <w:rsid w:val="00FE4FA2"/>
    <w:rsid w:val="00FF0162"/>
    <w:rsid w:val="00FF2E71"/>
    <w:rsid w:val="00FF5188"/>
    <w:rsid w:val="00FF5E4B"/>
    <w:rsid w:val="0EA16D92"/>
    <w:rsid w:val="19047031"/>
    <w:rsid w:val="1EE43B2B"/>
    <w:rsid w:val="2D765F2D"/>
    <w:rsid w:val="2F4B2075"/>
    <w:rsid w:val="44B9640E"/>
    <w:rsid w:val="4AF15573"/>
    <w:rsid w:val="4C673780"/>
    <w:rsid w:val="58B31AAA"/>
    <w:rsid w:val="7CC04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2">
    <w:name w:val="index 8"/>
    <w:basedOn w:val="1"/>
    <w:next w:val="1"/>
    <w:qFormat/>
    <w:uiPriority w:val="0"/>
    <w:pPr>
      <w:ind w:left="1680" w:hanging="210"/>
      <w:jc w:val="left"/>
    </w:pPr>
    <w:rPr>
      <w:rFonts w:ascii="Calibri" w:hAnsi="Calibri"/>
      <w:sz w:val="20"/>
      <w:szCs w:val="20"/>
    </w:rPr>
  </w:style>
  <w:style w:type="paragraph" w:styleId="3">
    <w:name w:val="caption"/>
    <w:basedOn w:val="1"/>
    <w:next w:val="1"/>
    <w:qFormat/>
    <w:uiPriority w:val="0"/>
    <w:pPr>
      <w:spacing w:before="152" w:after="160"/>
    </w:pPr>
    <w:rPr>
      <w:rFonts w:ascii="Arial" w:hAnsi="Arial" w:eastAsia="黑体" w:cs="Arial"/>
      <w:sz w:val="20"/>
      <w:szCs w:val="20"/>
    </w:rPr>
  </w:style>
  <w:style w:type="paragraph" w:styleId="4">
    <w:name w:val="index 5"/>
    <w:basedOn w:val="1"/>
    <w:next w:val="1"/>
    <w:qFormat/>
    <w:uiPriority w:val="0"/>
    <w:pPr>
      <w:ind w:left="1050" w:hanging="210"/>
      <w:jc w:val="left"/>
    </w:pPr>
    <w:rPr>
      <w:rFonts w:ascii="Calibri" w:hAnsi="Calibri"/>
      <w:sz w:val="20"/>
      <w:szCs w:val="20"/>
    </w:rPr>
  </w:style>
  <w:style w:type="paragraph" w:styleId="5">
    <w:name w:val="Document Map"/>
    <w:basedOn w:val="1"/>
    <w:semiHidden/>
    <w:qFormat/>
    <w:uiPriority w:val="0"/>
    <w:pPr>
      <w:shd w:val="clear" w:color="auto" w:fill="000080"/>
    </w:pPr>
  </w:style>
  <w:style w:type="paragraph" w:styleId="6">
    <w:name w:val="annotation text"/>
    <w:basedOn w:val="1"/>
    <w:semiHidden/>
    <w:qFormat/>
    <w:uiPriority w:val="0"/>
    <w:pPr>
      <w:jc w:val="left"/>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index 3"/>
    <w:basedOn w:val="1"/>
    <w:next w:val="1"/>
    <w:qFormat/>
    <w:uiPriority w:val="0"/>
    <w:pPr>
      <w:ind w:left="630" w:hanging="210"/>
      <w:jc w:val="left"/>
    </w:pPr>
    <w:rPr>
      <w:rFonts w:ascii="Calibri" w:hAnsi="Calibri"/>
      <w:sz w:val="20"/>
      <w:szCs w:val="20"/>
    </w:rPr>
  </w:style>
  <w:style w:type="paragraph" w:styleId="10">
    <w:name w:val="endnote text"/>
    <w:basedOn w:val="1"/>
    <w:semiHidden/>
    <w:qFormat/>
    <w:uiPriority w:val="0"/>
    <w:pPr>
      <w:snapToGrid w:val="0"/>
      <w:jc w:val="left"/>
    </w:pPr>
  </w:style>
  <w:style w:type="paragraph" w:styleId="11">
    <w:name w:val="Balloon Text"/>
    <w:basedOn w:val="1"/>
    <w:semiHidden/>
    <w:qFormat/>
    <w:uiPriority w:val="0"/>
    <w:rPr>
      <w:sz w:val="18"/>
      <w:szCs w:val="18"/>
    </w:rPr>
  </w:style>
  <w:style w:type="paragraph" w:styleId="12">
    <w:name w:val="footer"/>
    <w:basedOn w:val="1"/>
    <w:qFormat/>
    <w:uiPriority w:val="0"/>
    <w:pPr>
      <w:snapToGrid w:val="0"/>
      <w:ind w:right="210" w:rightChars="100"/>
      <w:jc w:val="right"/>
    </w:pPr>
    <w:rPr>
      <w:sz w:val="18"/>
      <w:szCs w:val="18"/>
    </w:rPr>
  </w:style>
  <w:style w:type="paragraph" w:styleId="13">
    <w:name w:val="header"/>
    <w:basedOn w:val="1"/>
    <w:qFormat/>
    <w:uiPriority w:val="0"/>
    <w:pPr>
      <w:snapToGrid w:val="0"/>
      <w:jc w:val="left"/>
    </w:pPr>
    <w:rPr>
      <w:sz w:val="18"/>
      <w:szCs w:val="18"/>
    </w:rPr>
  </w:style>
  <w:style w:type="paragraph" w:styleId="14">
    <w:name w:val="index heading"/>
    <w:basedOn w:val="1"/>
    <w:next w:val="15"/>
    <w:qFormat/>
    <w:uiPriority w:val="0"/>
    <w:pPr>
      <w:spacing w:before="120" w:after="120"/>
      <w:jc w:val="center"/>
    </w:pPr>
    <w:rPr>
      <w:rFonts w:ascii="Calibri" w:hAnsi="Calibri"/>
      <w:b/>
      <w:bCs/>
      <w:iCs/>
      <w:szCs w:val="20"/>
    </w:rPr>
  </w:style>
  <w:style w:type="paragraph" w:styleId="15">
    <w:name w:val="index 1"/>
    <w:basedOn w:val="1"/>
    <w:next w:val="16"/>
    <w:qFormat/>
    <w:uiPriority w:val="0"/>
    <w:pPr>
      <w:tabs>
        <w:tab w:val="right" w:leader="dot" w:pos="9299"/>
      </w:tabs>
      <w:jc w:val="left"/>
    </w:pPr>
    <w:rPr>
      <w:rFonts w:ascii="宋体"/>
      <w:szCs w:val="21"/>
    </w:rPr>
  </w:style>
  <w:style w:type="paragraph" w:customStyle="1" w:styleId="16">
    <w:name w:val="段"/>
    <w:link w:val="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7">
    <w:name w:val="footnote text"/>
    <w:basedOn w:val="1"/>
    <w:qFormat/>
    <w:uiPriority w:val="0"/>
    <w:pPr>
      <w:numPr>
        <w:ilvl w:val="0"/>
        <w:numId w:val="1"/>
      </w:numPr>
      <w:snapToGrid w:val="0"/>
      <w:jc w:val="left"/>
    </w:pPr>
    <w:rPr>
      <w:rFonts w:ascii="宋体"/>
      <w:sz w:val="18"/>
      <w:szCs w:val="18"/>
    </w:rPr>
  </w:style>
  <w:style w:type="paragraph" w:styleId="18">
    <w:name w:val="index 7"/>
    <w:basedOn w:val="1"/>
    <w:next w:val="1"/>
    <w:qFormat/>
    <w:uiPriority w:val="0"/>
    <w:pPr>
      <w:ind w:left="1470" w:hanging="210"/>
      <w:jc w:val="left"/>
    </w:pPr>
    <w:rPr>
      <w:rFonts w:ascii="Calibri" w:hAnsi="Calibri"/>
      <w:sz w:val="20"/>
      <w:szCs w:val="20"/>
    </w:rPr>
  </w:style>
  <w:style w:type="paragraph" w:styleId="19">
    <w:name w:val="index 9"/>
    <w:basedOn w:val="1"/>
    <w:next w:val="1"/>
    <w:qFormat/>
    <w:uiPriority w:val="0"/>
    <w:pPr>
      <w:ind w:left="1890" w:hanging="210"/>
      <w:jc w:val="left"/>
    </w:pPr>
    <w:rPr>
      <w:rFonts w:ascii="Calibri" w:hAnsi="Calibri"/>
      <w:sz w:val="20"/>
      <w:szCs w:val="20"/>
    </w:rPr>
  </w:style>
  <w:style w:type="paragraph" w:styleId="20">
    <w:name w:val="index 2"/>
    <w:basedOn w:val="1"/>
    <w:next w:val="1"/>
    <w:qFormat/>
    <w:uiPriority w:val="0"/>
    <w:pPr>
      <w:ind w:left="420" w:hanging="210"/>
      <w:jc w:val="left"/>
    </w:pPr>
    <w:rPr>
      <w:rFonts w:ascii="Calibri" w:hAnsi="Calibri"/>
      <w:sz w:val="20"/>
      <w:szCs w:val="20"/>
    </w:rPr>
  </w:style>
  <w:style w:type="paragraph" w:styleId="21">
    <w:name w:val="annotation subject"/>
    <w:basedOn w:val="6"/>
    <w:next w:val="6"/>
    <w:semiHidden/>
    <w:qFormat/>
    <w:uiPriority w:val="0"/>
    <w:rPr>
      <w:b/>
      <w:bCs/>
    </w:rPr>
  </w:style>
  <w:style w:type="table" w:styleId="23">
    <w:name w:val="Table Grid"/>
    <w:basedOn w:val="2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endnote reference"/>
    <w:semiHidden/>
    <w:qFormat/>
    <w:uiPriority w:val="0"/>
    <w:rPr>
      <w:vertAlign w:val="superscript"/>
    </w:rPr>
  </w:style>
  <w:style w:type="character" w:styleId="26">
    <w:name w:val="page number"/>
    <w:qFormat/>
    <w:uiPriority w:val="0"/>
    <w:rPr>
      <w:rFonts w:ascii="Times New Roman" w:hAnsi="Times New Roman" w:eastAsia="宋体"/>
      <w:sz w:val="18"/>
    </w:rPr>
  </w:style>
  <w:style w:type="character" w:styleId="27">
    <w:name w:val="FollowedHyperlink"/>
    <w:qFormat/>
    <w:uiPriority w:val="0"/>
    <w:rPr>
      <w:color w:val="800080"/>
      <w:u w:val="single"/>
    </w:rPr>
  </w:style>
  <w:style w:type="character" w:styleId="28">
    <w:name w:val="Hyperlink"/>
    <w:qFormat/>
    <w:uiPriority w:val="0"/>
    <w:rPr>
      <w:color w:val="0000FF"/>
      <w:spacing w:val="0"/>
      <w:w w:val="100"/>
      <w:szCs w:val="21"/>
      <w:u w:val="single"/>
    </w:rPr>
  </w:style>
  <w:style w:type="character" w:styleId="29">
    <w:name w:val="annotation reference"/>
    <w:semiHidden/>
    <w:qFormat/>
    <w:uiPriority w:val="0"/>
    <w:rPr>
      <w:sz w:val="21"/>
      <w:szCs w:val="21"/>
    </w:rPr>
  </w:style>
  <w:style w:type="character" w:styleId="30">
    <w:name w:val="footnote reference"/>
    <w:semiHidden/>
    <w:qFormat/>
    <w:uiPriority w:val="0"/>
    <w:rPr>
      <w:vertAlign w:val="superscript"/>
    </w:rPr>
  </w:style>
  <w:style w:type="character" w:customStyle="1" w:styleId="31">
    <w:name w:val="段 Char"/>
    <w:link w:val="16"/>
    <w:qFormat/>
    <w:uiPriority w:val="0"/>
    <w:rPr>
      <w:rFonts w:ascii="宋体"/>
      <w:sz w:val="21"/>
      <w:lang w:val="en-US" w:eastAsia="zh-CN" w:bidi="ar-SA"/>
    </w:rPr>
  </w:style>
  <w:style w:type="paragraph" w:customStyle="1" w:styleId="32">
    <w:name w:val="一级条标题"/>
    <w:next w:val="16"/>
    <w:link w:val="136"/>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3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35">
    <w:name w:val="章标题"/>
    <w:next w:val="16"/>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6">
    <w:name w:val="二级条标题"/>
    <w:basedOn w:val="32"/>
    <w:next w:val="16"/>
    <w:qFormat/>
    <w:uiPriority w:val="0"/>
    <w:pPr>
      <w:numPr>
        <w:ilvl w:val="2"/>
      </w:numPr>
      <w:spacing w:before="50" w:after="50"/>
      <w:outlineLvl w:val="3"/>
    </w:pPr>
  </w:style>
  <w:style w:type="paragraph" w:customStyle="1" w:styleId="3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3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0">
    <w:name w:val="目次、标准名称标题"/>
    <w:basedOn w:val="1"/>
    <w:next w:val="16"/>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1">
    <w:name w:val="三级条标题"/>
    <w:basedOn w:val="36"/>
    <w:next w:val="16"/>
    <w:qFormat/>
    <w:uiPriority w:val="0"/>
    <w:pPr>
      <w:numPr>
        <w:ilvl w:val="3"/>
      </w:numPr>
      <w:outlineLvl w:val="4"/>
    </w:pPr>
  </w:style>
  <w:style w:type="paragraph" w:customStyle="1" w:styleId="42">
    <w:name w:val="示例"/>
    <w:next w:val="4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4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4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45">
    <w:name w:val="四级条标题"/>
    <w:basedOn w:val="41"/>
    <w:next w:val="16"/>
    <w:qFormat/>
    <w:uiPriority w:val="0"/>
    <w:pPr>
      <w:numPr>
        <w:ilvl w:val="4"/>
      </w:numPr>
      <w:outlineLvl w:val="5"/>
    </w:pPr>
  </w:style>
  <w:style w:type="paragraph" w:customStyle="1" w:styleId="46">
    <w:name w:val="五级条标题"/>
    <w:basedOn w:val="45"/>
    <w:next w:val="16"/>
    <w:qFormat/>
    <w:uiPriority w:val="0"/>
    <w:pPr>
      <w:numPr>
        <w:ilvl w:val="5"/>
      </w:numPr>
      <w:outlineLvl w:val="6"/>
    </w:pPr>
  </w:style>
  <w:style w:type="paragraph" w:customStyle="1" w:styleId="47">
    <w:name w:val="注："/>
    <w:next w:val="16"/>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4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4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0">
    <w:name w:val="列项◆（三级）"/>
    <w:basedOn w:val="1"/>
    <w:qFormat/>
    <w:uiPriority w:val="0"/>
    <w:pPr>
      <w:numPr>
        <w:ilvl w:val="2"/>
        <w:numId w:val="3"/>
      </w:numPr>
    </w:pPr>
    <w:rPr>
      <w:rFonts w:ascii="宋体"/>
      <w:szCs w:val="21"/>
    </w:rPr>
  </w:style>
  <w:style w:type="paragraph" w:customStyle="1" w:styleId="51">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52">
    <w:name w:val="示例×："/>
    <w:basedOn w:val="35"/>
    <w:qFormat/>
    <w:uiPriority w:val="0"/>
    <w:pPr>
      <w:numPr>
        <w:numId w:val="8"/>
      </w:numPr>
      <w:spacing w:before="0" w:beforeLines="0" w:after="0" w:afterLines="0"/>
      <w:outlineLvl w:val="9"/>
    </w:pPr>
    <w:rPr>
      <w:rFonts w:ascii="宋体" w:eastAsia="宋体"/>
      <w:sz w:val="18"/>
      <w:szCs w:val="18"/>
    </w:rPr>
  </w:style>
  <w:style w:type="paragraph" w:customStyle="1" w:styleId="53">
    <w:name w:val="二级无"/>
    <w:basedOn w:val="36"/>
    <w:qFormat/>
    <w:uiPriority w:val="0"/>
    <w:pPr>
      <w:spacing w:before="0" w:beforeLines="0" w:after="0" w:afterLines="0"/>
    </w:pPr>
    <w:rPr>
      <w:rFonts w:ascii="宋体" w:eastAsia="宋体"/>
    </w:rPr>
  </w:style>
  <w:style w:type="paragraph" w:customStyle="1" w:styleId="54">
    <w:name w:val="注：（正文）"/>
    <w:basedOn w:val="47"/>
    <w:next w:val="16"/>
    <w:qFormat/>
    <w:uiPriority w:val="0"/>
  </w:style>
  <w:style w:type="paragraph" w:customStyle="1" w:styleId="55">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5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5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59">
    <w:name w:val="标准书眉_偶数页"/>
    <w:basedOn w:val="34"/>
    <w:next w:val="1"/>
    <w:qFormat/>
    <w:uiPriority w:val="0"/>
    <w:pPr>
      <w:jc w:val="left"/>
    </w:pPr>
  </w:style>
  <w:style w:type="paragraph" w:customStyle="1" w:styleId="60">
    <w:name w:val="标准书眉一"/>
    <w:qFormat/>
    <w:uiPriority w:val="0"/>
    <w:pPr>
      <w:jc w:val="both"/>
    </w:pPr>
    <w:rPr>
      <w:rFonts w:ascii="Times New Roman" w:hAnsi="Times New Roman" w:eastAsia="宋体" w:cs="Times New Roman"/>
      <w:lang w:val="en-US" w:eastAsia="zh-CN" w:bidi="ar-SA"/>
    </w:rPr>
  </w:style>
  <w:style w:type="paragraph" w:customStyle="1" w:styleId="61">
    <w:name w:val="参考文献"/>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62">
    <w:name w:val="参考文献、索引标题"/>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63">
    <w:name w:val="发布"/>
    <w:qFormat/>
    <w:uiPriority w:val="0"/>
    <w:rPr>
      <w:rFonts w:ascii="黑体" w:eastAsia="黑体"/>
      <w:spacing w:val="85"/>
      <w:w w:val="100"/>
      <w:position w:val="3"/>
      <w:sz w:val="28"/>
      <w:szCs w:val="28"/>
    </w:rPr>
  </w:style>
  <w:style w:type="paragraph" w:customStyle="1" w:styleId="64">
    <w:name w:val="发布部门"/>
    <w:next w:val="1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6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6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6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69">
    <w:name w:val="封面标准英文名称"/>
    <w:basedOn w:val="68"/>
    <w:qFormat/>
    <w:uiPriority w:val="0"/>
    <w:pPr>
      <w:framePr w:wrap="around"/>
      <w:spacing w:before="370" w:line="400" w:lineRule="exact"/>
    </w:pPr>
    <w:rPr>
      <w:rFonts w:ascii="Times New Roman"/>
      <w:sz w:val="28"/>
      <w:szCs w:val="28"/>
    </w:rPr>
  </w:style>
  <w:style w:type="paragraph" w:customStyle="1" w:styleId="70">
    <w:name w:val="封面一致性程度标识"/>
    <w:basedOn w:val="69"/>
    <w:qFormat/>
    <w:uiPriority w:val="0"/>
    <w:pPr>
      <w:framePr w:wrap="around"/>
      <w:spacing w:before="440"/>
    </w:pPr>
    <w:rPr>
      <w:rFonts w:ascii="宋体" w:eastAsia="宋体"/>
    </w:rPr>
  </w:style>
  <w:style w:type="paragraph" w:customStyle="1" w:styleId="71">
    <w:name w:val="封面标准文稿类别"/>
    <w:basedOn w:val="70"/>
    <w:qFormat/>
    <w:uiPriority w:val="0"/>
    <w:pPr>
      <w:framePr w:wrap="around"/>
      <w:spacing w:after="160" w:line="240" w:lineRule="auto"/>
    </w:pPr>
    <w:rPr>
      <w:sz w:val="24"/>
    </w:rPr>
  </w:style>
  <w:style w:type="paragraph" w:customStyle="1" w:styleId="72">
    <w:name w:val="封面标准文稿编辑信息"/>
    <w:basedOn w:val="71"/>
    <w:qFormat/>
    <w:uiPriority w:val="0"/>
    <w:pPr>
      <w:framePr w:wrap="around"/>
      <w:spacing w:before="180" w:line="180" w:lineRule="exact"/>
    </w:pPr>
    <w:rPr>
      <w:sz w:val="21"/>
    </w:rPr>
  </w:style>
  <w:style w:type="paragraph" w:customStyle="1" w:styleId="73">
    <w:name w:val="封面正文"/>
    <w:qFormat/>
    <w:uiPriority w:val="0"/>
    <w:pPr>
      <w:jc w:val="both"/>
    </w:pPr>
    <w:rPr>
      <w:rFonts w:ascii="Times New Roman" w:hAnsi="Times New Roman" w:eastAsia="宋体" w:cs="Times New Roman"/>
      <w:lang w:val="en-US" w:eastAsia="zh-CN" w:bidi="ar-SA"/>
    </w:rPr>
  </w:style>
  <w:style w:type="paragraph" w:customStyle="1" w:styleId="74">
    <w:name w:val="附录标识"/>
    <w:basedOn w:val="1"/>
    <w:next w:val="16"/>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5">
    <w:name w:val="附录标题"/>
    <w:basedOn w:val="16"/>
    <w:next w:val="16"/>
    <w:qFormat/>
    <w:uiPriority w:val="0"/>
    <w:pPr>
      <w:ind w:firstLine="0" w:firstLineChars="0"/>
      <w:jc w:val="center"/>
    </w:pPr>
    <w:rPr>
      <w:rFonts w:ascii="黑体" w:eastAsia="黑体"/>
    </w:rPr>
  </w:style>
  <w:style w:type="paragraph" w:customStyle="1" w:styleId="76">
    <w:name w:val="附录表标号"/>
    <w:basedOn w:val="1"/>
    <w:next w:val="16"/>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77">
    <w:name w:val="附录表标题"/>
    <w:basedOn w:val="1"/>
    <w:next w:val="16"/>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78">
    <w:name w:val="附录二级条标题"/>
    <w:basedOn w:val="1"/>
    <w:next w:val="16"/>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79">
    <w:name w:val="附录二级无"/>
    <w:basedOn w:val="78"/>
    <w:qFormat/>
    <w:uiPriority w:val="0"/>
    <w:pPr>
      <w:tabs>
        <w:tab w:val="clear" w:pos="360"/>
      </w:tabs>
      <w:spacing w:before="0" w:beforeLines="0" w:after="0" w:afterLines="0"/>
    </w:pPr>
    <w:rPr>
      <w:rFonts w:ascii="宋体" w:eastAsia="宋体"/>
      <w:szCs w:val="21"/>
    </w:rPr>
  </w:style>
  <w:style w:type="paragraph" w:customStyle="1" w:styleId="80">
    <w:name w:val="附录公式"/>
    <w:basedOn w:val="16"/>
    <w:next w:val="16"/>
    <w:link w:val="81"/>
    <w:qFormat/>
    <w:uiPriority w:val="0"/>
  </w:style>
  <w:style w:type="character" w:customStyle="1" w:styleId="81">
    <w:name w:val="附录公式 Char"/>
    <w:basedOn w:val="31"/>
    <w:link w:val="80"/>
    <w:qFormat/>
    <w:uiPriority w:val="0"/>
    <w:rPr>
      <w:rFonts w:ascii="宋体"/>
      <w:sz w:val="21"/>
      <w:lang w:val="en-US" w:eastAsia="zh-CN" w:bidi="ar-SA"/>
    </w:rPr>
  </w:style>
  <w:style w:type="paragraph" w:customStyle="1" w:styleId="82">
    <w:name w:val="附录公式编号制表符"/>
    <w:basedOn w:val="1"/>
    <w:next w:val="16"/>
    <w:qFormat/>
    <w:uiPriority w:val="0"/>
    <w:pPr>
      <w:widowControl/>
      <w:tabs>
        <w:tab w:val="center" w:pos="4201"/>
        <w:tab w:val="right" w:leader="dot" w:pos="9298"/>
      </w:tabs>
      <w:autoSpaceDE w:val="0"/>
      <w:autoSpaceDN w:val="0"/>
    </w:pPr>
    <w:rPr>
      <w:rFonts w:ascii="宋体"/>
      <w:kern w:val="0"/>
      <w:szCs w:val="20"/>
    </w:rPr>
  </w:style>
  <w:style w:type="paragraph" w:customStyle="1" w:styleId="83">
    <w:name w:val="附录三级条标题"/>
    <w:basedOn w:val="78"/>
    <w:next w:val="16"/>
    <w:qFormat/>
    <w:uiPriority w:val="0"/>
    <w:pPr>
      <w:numPr>
        <w:ilvl w:val="4"/>
      </w:numPr>
      <w:outlineLvl w:val="4"/>
    </w:pPr>
  </w:style>
  <w:style w:type="paragraph" w:customStyle="1" w:styleId="84">
    <w:name w:val="附录三级无"/>
    <w:basedOn w:val="83"/>
    <w:qFormat/>
    <w:uiPriority w:val="0"/>
    <w:pPr>
      <w:tabs>
        <w:tab w:val="clear" w:pos="360"/>
      </w:tabs>
      <w:spacing w:before="0" w:beforeLines="0" w:after="0" w:afterLines="0"/>
    </w:pPr>
    <w:rPr>
      <w:rFonts w:ascii="宋体" w:eastAsia="宋体"/>
      <w:szCs w:val="21"/>
    </w:rPr>
  </w:style>
  <w:style w:type="paragraph" w:customStyle="1" w:styleId="85">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86">
    <w:name w:val="附录四级条标题"/>
    <w:basedOn w:val="83"/>
    <w:next w:val="16"/>
    <w:qFormat/>
    <w:uiPriority w:val="0"/>
    <w:pPr>
      <w:numPr>
        <w:ilvl w:val="5"/>
      </w:numPr>
      <w:outlineLvl w:val="5"/>
    </w:pPr>
  </w:style>
  <w:style w:type="paragraph" w:customStyle="1" w:styleId="87">
    <w:name w:val="附录四级无"/>
    <w:basedOn w:val="86"/>
    <w:qFormat/>
    <w:uiPriority w:val="0"/>
    <w:pPr>
      <w:tabs>
        <w:tab w:val="clear" w:pos="360"/>
      </w:tabs>
      <w:spacing w:before="0" w:beforeLines="0" w:after="0" w:afterLines="0"/>
    </w:pPr>
    <w:rPr>
      <w:rFonts w:ascii="宋体" w:eastAsia="宋体"/>
      <w:szCs w:val="21"/>
    </w:rPr>
  </w:style>
  <w:style w:type="paragraph" w:customStyle="1" w:styleId="88">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89">
    <w:name w:val="附录图标题"/>
    <w:basedOn w:val="1"/>
    <w:next w:val="16"/>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90">
    <w:name w:val="附录五级条标题"/>
    <w:basedOn w:val="86"/>
    <w:next w:val="16"/>
    <w:qFormat/>
    <w:uiPriority w:val="0"/>
    <w:pPr>
      <w:numPr>
        <w:ilvl w:val="6"/>
      </w:numPr>
      <w:outlineLvl w:val="6"/>
    </w:pPr>
  </w:style>
  <w:style w:type="paragraph" w:customStyle="1" w:styleId="91">
    <w:name w:val="附录五级无"/>
    <w:basedOn w:val="90"/>
    <w:qFormat/>
    <w:uiPriority w:val="0"/>
    <w:pPr>
      <w:tabs>
        <w:tab w:val="clear" w:pos="360"/>
      </w:tabs>
      <w:spacing w:before="0" w:beforeLines="0" w:after="0" w:afterLines="0"/>
    </w:pPr>
    <w:rPr>
      <w:rFonts w:ascii="宋体" w:eastAsia="宋体"/>
      <w:szCs w:val="21"/>
    </w:rPr>
  </w:style>
  <w:style w:type="paragraph" w:customStyle="1" w:styleId="92">
    <w:name w:val="附录章标题"/>
    <w:next w:val="16"/>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附录一级条标题"/>
    <w:basedOn w:val="92"/>
    <w:next w:val="16"/>
    <w:qFormat/>
    <w:uiPriority w:val="0"/>
    <w:pPr>
      <w:numPr>
        <w:ilvl w:val="2"/>
      </w:numPr>
      <w:autoSpaceDN w:val="0"/>
      <w:spacing w:before="50" w:beforeLines="50" w:after="50" w:afterLines="50"/>
      <w:outlineLvl w:val="2"/>
    </w:pPr>
  </w:style>
  <w:style w:type="paragraph" w:customStyle="1" w:styleId="94">
    <w:name w:val="附录一级无"/>
    <w:basedOn w:val="93"/>
    <w:qFormat/>
    <w:uiPriority w:val="0"/>
    <w:pPr>
      <w:tabs>
        <w:tab w:val="clear" w:pos="360"/>
      </w:tabs>
      <w:spacing w:before="0" w:beforeLines="0" w:after="0" w:afterLines="0"/>
    </w:pPr>
    <w:rPr>
      <w:rFonts w:ascii="宋体" w:eastAsia="宋体"/>
      <w:szCs w:val="21"/>
    </w:rPr>
  </w:style>
  <w:style w:type="paragraph" w:customStyle="1" w:styleId="95">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9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9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9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9">
    <w:name w:val="目录 31"/>
    <w:basedOn w:val="1"/>
    <w:next w:val="1"/>
    <w:semiHidden/>
    <w:qFormat/>
    <w:uiPriority w:val="0"/>
    <w:pPr>
      <w:tabs>
        <w:tab w:val="right" w:leader="dot" w:pos="9241"/>
      </w:tabs>
      <w:ind w:firstLine="102" w:firstLineChars="100"/>
      <w:jc w:val="left"/>
    </w:pPr>
    <w:rPr>
      <w:rFonts w:ascii="宋体"/>
      <w:szCs w:val="21"/>
    </w:rPr>
  </w:style>
  <w:style w:type="paragraph" w:customStyle="1" w:styleId="100">
    <w:name w:val="目录 41"/>
    <w:basedOn w:val="1"/>
    <w:next w:val="1"/>
    <w:semiHidden/>
    <w:qFormat/>
    <w:uiPriority w:val="0"/>
    <w:pPr>
      <w:tabs>
        <w:tab w:val="right" w:leader="dot" w:pos="9241"/>
      </w:tabs>
      <w:ind w:firstLine="198" w:firstLineChars="200"/>
      <w:jc w:val="left"/>
    </w:pPr>
    <w:rPr>
      <w:rFonts w:ascii="宋体"/>
      <w:szCs w:val="21"/>
    </w:rPr>
  </w:style>
  <w:style w:type="paragraph" w:customStyle="1" w:styleId="101">
    <w:name w:val="目录 51"/>
    <w:basedOn w:val="1"/>
    <w:next w:val="1"/>
    <w:semiHidden/>
    <w:qFormat/>
    <w:uiPriority w:val="0"/>
    <w:pPr>
      <w:tabs>
        <w:tab w:val="right" w:leader="dot" w:pos="9241"/>
      </w:tabs>
      <w:ind w:firstLine="300" w:firstLineChars="300"/>
      <w:jc w:val="left"/>
    </w:pPr>
    <w:rPr>
      <w:rFonts w:ascii="宋体"/>
      <w:szCs w:val="21"/>
    </w:rPr>
  </w:style>
  <w:style w:type="paragraph" w:customStyle="1" w:styleId="102">
    <w:name w:val="目录 61"/>
    <w:basedOn w:val="1"/>
    <w:next w:val="1"/>
    <w:semiHidden/>
    <w:qFormat/>
    <w:uiPriority w:val="0"/>
    <w:pPr>
      <w:tabs>
        <w:tab w:val="right" w:leader="dot" w:pos="9241"/>
      </w:tabs>
      <w:ind w:firstLine="403" w:firstLineChars="400"/>
      <w:jc w:val="left"/>
    </w:pPr>
    <w:rPr>
      <w:rFonts w:ascii="宋体"/>
      <w:szCs w:val="21"/>
    </w:rPr>
  </w:style>
  <w:style w:type="paragraph" w:customStyle="1" w:styleId="103">
    <w:name w:val="目录 71"/>
    <w:basedOn w:val="1"/>
    <w:next w:val="1"/>
    <w:semiHidden/>
    <w:qFormat/>
    <w:uiPriority w:val="0"/>
    <w:pPr>
      <w:tabs>
        <w:tab w:val="right" w:leader="dot" w:pos="9241"/>
      </w:tabs>
      <w:ind w:firstLine="505" w:firstLineChars="500"/>
      <w:jc w:val="left"/>
    </w:pPr>
    <w:rPr>
      <w:rFonts w:ascii="宋体"/>
      <w:szCs w:val="21"/>
    </w:rPr>
  </w:style>
  <w:style w:type="paragraph" w:customStyle="1" w:styleId="104">
    <w:name w:val="目录 81"/>
    <w:basedOn w:val="1"/>
    <w:next w:val="1"/>
    <w:semiHidden/>
    <w:qFormat/>
    <w:uiPriority w:val="0"/>
    <w:pPr>
      <w:tabs>
        <w:tab w:val="right" w:leader="dot" w:pos="9241"/>
      </w:tabs>
      <w:ind w:firstLine="607" w:firstLineChars="600"/>
      <w:jc w:val="left"/>
    </w:pPr>
    <w:rPr>
      <w:rFonts w:ascii="宋体"/>
      <w:szCs w:val="21"/>
    </w:rPr>
  </w:style>
  <w:style w:type="paragraph" w:customStyle="1" w:styleId="105">
    <w:name w:val="目录 91"/>
    <w:basedOn w:val="1"/>
    <w:next w:val="1"/>
    <w:semiHidden/>
    <w:qFormat/>
    <w:uiPriority w:val="0"/>
    <w:pPr>
      <w:ind w:left="1470"/>
      <w:jc w:val="left"/>
    </w:pPr>
    <w:rPr>
      <w:sz w:val="20"/>
      <w:szCs w:val="20"/>
    </w:rPr>
  </w:style>
  <w:style w:type="paragraph" w:customStyle="1" w:styleId="106">
    <w:name w:val="其他标准标志"/>
    <w:basedOn w:val="56"/>
    <w:qFormat/>
    <w:uiPriority w:val="0"/>
    <w:pPr>
      <w:framePr w:w="6101" w:wrap="around" w:vAnchor="page" w:hAnchor="page" w:x="4673" w:y="942"/>
    </w:pPr>
    <w:rPr>
      <w:w w:val="130"/>
    </w:rPr>
  </w:style>
  <w:style w:type="paragraph" w:customStyle="1" w:styleId="10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08">
    <w:name w:val="其他发布部门"/>
    <w:basedOn w:val="64"/>
    <w:qFormat/>
    <w:uiPriority w:val="0"/>
    <w:pPr>
      <w:framePr w:wrap="around" w:y="15310"/>
      <w:spacing w:line="0" w:lineRule="atLeast"/>
    </w:pPr>
    <w:rPr>
      <w:rFonts w:ascii="黑体" w:eastAsia="黑体"/>
      <w:b w:val="0"/>
    </w:rPr>
  </w:style>
  <w:style w:type="paragraph" w:customStyle="1" w:styleId="109">
    <w:name w:val="前言、引言标题"/>
    <w:next w:val="1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0">
    <w:name w:val="三级无"/>
    <w:basedOn w:val="41"/>
    <w:qFormat/>
    <w:uiPriority w:val="0"/>
    <w:pPr>
      <w:spacing w:before="0" w:beforeLines="0" w:after="0" w:afterLines="0"/>
    </w:pPr>
    <w:rPr>
      <w:rFonts w:ascii="宋体" w:eastAsia="宋体"/>
    </w:rPr>
  </w:style>
  <w:style w:type="paragraph" w:customStyle="1" w:styleId="111">
    <w:name w:val="实施日期"/>
    <w:basedOn w:val="65"/>
    <w:qFormat/>
    <w:uiPriority w:val="0"/>
    <w:pPr>
      <w:framePr w:wrap="around" w:vAnchor="page" w:hAnchor="text"/>
      <w:jc w:val="right"/>
    </w:pPr>
  </w:style>
  <w:style w:type="paragraph" w:customStyle="1" w:styleId="112">
    <w:name w:val="示例后文字"/>
    <w:basedOn w:val="16"/>
    <w:next w:val="16"/>
    <w:qFormat/>
    <w:uiPriority w:val="0"/>
    <w:pPr>
      <w:ind w:firstLine="360"/>
    </w:pPr>
    <w:rPr>
      <w:sz w:val="18"/>
    </w:rPr>
  </w:style>
  <w:style w:type="paragraph" w:customStyle="1" w:styleId="113">
    <w:name w:val="首示例"/>
    <w:next w:val="16"/>
    <w:link w:val="114"/>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4">
    <w:name w:val="首示例 Char"/>
    <w:link w:val="113"/>
    <w:qFormat/>
    <w:uiPriority w:val="0"/>
    <w:rPr>
      <w:rFonts w:ascii="宋体" w:hAnsi="宋体"/>
      <w:kern w:val="2"/>
      <w:sz w:val="18"/>
      <w:szCs w:val="18"/>
      <w:lang w:val="en-US" w:eastAsia="zh-CN" w:bidi="ar-SA"/>
    </w:rPr>
  </w:style>
  <w:style w:type="paragraph" w:customStyle="1" w:styleId="115">
    <w:name w:val="四级无"/>
    <w:basedOn w:val="45"/>
    <w:qFormat/>
    <w:uiPriority w:val="0"/>
    <w:pPr>
      <w:spacing w:before="0" w:beforeLines="0" w:after="0" w:afterLines="0"/>
    </w:pPr>
    <w:rPr>
      <w:rFonts w:ascii="宋体" w:eastAsia="宋体"/>
    </w:rPr>
  </w:style>
  <w:style w:type="paragraph" w:customStyle="1" w:styleId="116">
    <w:name w:val="条文脚注"/>
    <w:basedOn w:val="17"/>
    <w:qFormat/>
    <w:uiPriority w:val="0"/>
    <w:pPr>
      <w:numPr>
        <w:numId w:val="0"/>
      </w:numPr>
      <w:jc w:val="both"/>
    </w:pPr>
  </w:style>
  <w:style w:type="paragraph" w:customStyle="1" w:styleId="117">
    <w:name w:val="图标脚注说明"/>
    <w:basedOn w:val="16"/>
    <w:qFormat/>
    <w:uiPriority w:val="0"/>
    <w:pPr>
      <w:ind w:left="840" w:hanging="420" w:firstLineChars="0"/>
    </w:pPr>
    <w:rPr>
      <w:sz w:val="18"/>
      <w:szCs w:val="18"/>
    </w:rPr>
  </w:style>
  <w:style w:type="paragraph" w:customStyle="1" w:styleId="118">
    <w:name w:val="图表脚注说明"/>
    <w:basedOn w:val="1"/>
    <w:qFormat/>
    <w:uiPriority w:val="0"/>
    <w:pPr>
      <w:numPr>
        <w:ilvl w:val="0"/>
        <w:numId w:val="15"/>
      </w:numPr>
    </w:pPr>
    <w:rPr>
      <w:rFonts w:ascii="宋体"/>
      <w:sz w:val="18"/>
      <w:szCs w:val="18"/>
    </w:rPr>
  </w:style>
  <w:style w:type="paragraph" w:customStyle="1" w:styleId="119">
    <w:name w:val="图的脚注"/>
    <w:next w:val="1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0">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1">
    <w:name w:val="五级无"/>
    <w:basedOn w:val="46"/>
    <w:qFormat/>
    <w:uiPriority w:val="0"/>
    <w:pPr>
      <w:spacing w:before="0" w:beforeLines="0" w:after="0" w:afterLines="0"/>
    </w:pPr>
    <w:rPr>
      <w:rFonts w:ascii="宋体" w:eastAsia="宋体"/>
    </w:rPr>
  </w:style>
  <w:style w:type="paragraph" w:customStyle="1" w:styleId="122">
    <w:name w:val="一级无"/>
    <w:basedOn w:val="32"/>
    <w:qFormat/>
    <w:uiPriority w:val="0"/>
    <w:pPr>
      <w:spacing w:before="0" w:beforeLines="0" w:after="0" w:afterLines="0"/>
    </w:pPr>
    <w:rPr>
      <w:rFonts w:ascii="宋体" w:eastAsia="宋体"/>
    </w:rPr>
  </w:style>
  <w:style w:type="paragraph" w:customStyle="1" w:styleId="123">
    <w:name w:val="正文表标题"/>
    <w:next w:val="16"/>
    <w:qFormat/>
    <w:uiPriority w:val="0"/>
    <w:pPr>
      <w:numPr>
        <w:ilvl w:val="0"/>
        <w:numId w:val="16"/>
      </w:numPr>
      <w:spacing w:before="156" w:beforeLines="50" w:after="156" w:afterLines="50"/>
      <w:jc w:val="center"/>
    </w:pPr>
    <w:rPr>
      <w:rFonts w:ascii="黑体" w:hAnsi="Times New Roman" w:eastAsia="黑体" w:cs="Times New Roman"/>
      <w:sz w:val="21"/>
      <w:lang w:val="en-US" w:eastAsia="zh-CN" w:bidi="ar-SA"/>
    </w:rPr>
  </w:style>
  <w:style w:type="paragraph" w:customStyle="1" w:styleId="124">
    <w:name w:val="正文公式编号制表符"/>
    <w:basedOn w:val="16"/>
    <w:next w:val="16"/>
    <w:qFormat/>
    <w:uiPriority w:val="0"/>
    <w:pPr>
      <w:ind w:firstLine="0" w:firstLineChars="0"/>
    </w:pPr>
  </w:style>
  <w:style w:type="paragraph" w:customStyle="1" w:styleId="125">
    <w:name w:val="正文图标题"/>
    <w:next w:val="16"/>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终结线"/>
    <w:basedOn w:val="1"/>
    <w:qFormat/>
    <w:uiPriority w:val="0"/>
    <w:pPr>
      <w:framePr w:hSpace="181" w:vSpace="181" w:wrap="around" w:vAnchor="text" w:hAnchor="margin" w:xAlign="center" w:y="285"/>
    </w:pPr>
  </w:style>
  <w:style w:type="paragraph" w:customStyle="1" w:styleId="127">
    <w:name w:val="其他发布日期"/>
    <w:basedOn w:val="65"/>
    <w:qFormat/>
    <w:uiPriority w:val="0"/>
    <w:pPr>
      <w:framePr w:wrap="around" w:vAnchor="page" w:hAnchor="text" w:x="1419"/>
    </w:pPr>
  </w:style>
  <w:style w:type="paragraph" w:customStyle="1" w:styleId="128">
    <w:name w:val="其他实施日期"/>
    <w:basedOn w:val="111"/>
    <w:qFormat/>
    <w:uiPriority w:val="0"/>
    <w:pPr>
      <w:framePr w:wrap="around"/>
    </w:pPr>
  </w:style>
  <w:style w:type="paragraph" w:customStyle="1" w:styleId="129">
    <w:name w:val="封面标准名称2"/>
    <w:basedOn w:val="68"/>
    <w:qFormat/>
    <w:uiPriority w:val="0"/>
    <w:pPr>
      <w:framePr w:wrap="around" w:y="4469"/>
      <w:spacing w:before="630" w:beforeLines="630"/>
    </w:pPr>
  </w:style>
  <w:style w:type="paragraph" w:customStyle="1" w:styleId="130">
    <w:name w:val="封面标准英文名称2"/>
    <w:basedOn w:val="69"/>
    <w:qFormat/>
    <w:uiPriority w:val="0"/>
    <w:pPr>
      <w:framePr w:wrap="around" w:y="4469"/>
    </w:pPr>
  </w:style>
  <w:style w:type="paragraph" w:customStyle="1" w:styleId="131">
    <w:name w:val="封面一致性程度标识2"/>
    <w:basedOn w:val="70"/>
    <w:qFormat/>
    <w:uiPriority w:val="0"/>
    <w:pPr>
      <w:framePr w:wrap="around" w:y="4469"/>
    </w:pPr>
  </w:style>
  <w:style w:type="paragraph" w:customStyle="1" w:styleId="132">
    <w:name w:val="封面标准文稿类别2"/>
    <w:basedOn w:val="71"/>
    <w:qFormat/>
    <w:uiPriority w:val="0"/>
    <w:pPr>
      <w:framePr w:wrap="around" w:y="4469"/>
    </w:pPr>
  </w:style>
  <w:style w:type="paragraph" w:customStyle="1" w:styleId="133">
    <w:name w:val="封面标准文稿编辑信息2"/>
    <w:basedOn w:val="72"/>
    <w:qFormat/>
    <w:uiPriority w:val="0"/>
    <w:pPr>
      <w:framePr w:wrap="around" w:y="4469"/>
    </w:pPr>
  </w:style>
  <w:style w:type="paragraph" w:customStyle="1" w:styleId="134">
    <w:name w:val="目录 11"/>
    <w:basedOn w:val="1"/>
    <w:next w:val="1"/>
    <w:semiHidden/>
    <w:qFormat/>
    <w:uiPriority w:val="0"/>
    <w:pPr>
      <w:tabs>
        <w:tab w:val="right" w:leader="dot" w:pos="9241"/>
      </w:tabs>
      <w:spacing w:before="25" w:beforeLines="25" w:after="25" w:afterLines="25"/>
      <w:jc w:val="left"/>
    </w:pPr>
    <w:rPr>
      <w:rFonts w:ascii="宋体"/>
      <w:szCs w:val="21"/>
    </w:rPr>
  </w:style>
  <w:style w:type="paragraph" w:customStyle="1" w:styleId="135">
    <w:name w:val="目录 21"/>
    <w:basedOn w:val="1"/>
    <w:next w:val="1"/>
    <w:semiHidden/>
    <w:qFormat/>
    <w:uiPriority w:val="0"/>
    <w:pPr>
      <w:tabs>
        <w:tab w:val="right" w:leader="dot" w:pos="9241"/>
      </w:tabs>
    </w:pPr>
    <w:rPr>
      <w:rFonts w:ascii="宋体"/>
      <w:szCs w:val="21"/>
    </w:rPr>
  </w:style>
  <w:style w:type="character" w:customStyle="1" w:styleId="136">
    <w:name w:val="一级条标题 Char"/>
    <w:link w:val="32"/>
    <w:qFormat/>
    <w:locked/>
    <w:uiPriority w:val="0"/>
    <w:rPr>
      <w:rFonts w:ascii="黑体" w:eastAsia="黑体"/>
      <w:sz w:val="21"/>
      <w:szCs w:val="21"/>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6" Type="http://schemas.openxmlformats.org/officeDocument/2006/relationships/fontTable" Target="fontTable.xml"/><Relationship Id="rId45" Type="http://schemas.microsoft.com/office/2006/relationships/keyMapCustomizations" Target="customizations.xml"/><Relationship Id="rId44" Type="http://schemas.openxmlformats.org/officeDocument/2006/relationships/customXml" Target="../customXml/item2.xml"/><Relationship Id="rId43" Type="http://schemas.openxmlformats.org/officeDocument/2006/relationships/numbering" Target="numbering.xml"/><Relationship Id="rId42" Type="http://schemas.openxmlformats.org/officeDocument/2006/relationships/customXml" Target="../customXml/item1.xml"/><Relationship Id="rId41" Type="http://schemas.openxmlformats.org/officeDocument/2006/relationships/image" Target="media/image17.wmf"/><Relationship Id="rId40" Type="http://schemas.openxmlformats.org/officeDocument/2006/relationships/oleObject" Target="embeddings/oleObject17.bin"/><Relationship Id="rId4" Type="http://schemas.openxmlformats.org/officeDocument/2006/relationships/footer" Target="footer1.xml"/><Relationship Id="rId39" Type="http://schemas.openxmlformats.org/officeDocument/2006/relationships/image" Target="media/image16.wmf"/><Relationship Id="rId38" Type="http://schemas.openxmlformats.org/officeDocument/2006/relationships/oleObject" Target="embeddings/oleObject16.bin"/><Relationship Id="rId37" Type="http://schemas.openxmlformats.org/officeDocument/2006/relationships/image" Target="media/image15.wmf"/><Relationship Id="rId36" Type="http://schemas.openxmlformats.org/officeDocument/2006/relationships/oleObject" Target="embeddings/oleObject15.bin"/><Relationship Id="rId35" Type="http://schemas.openxmlformats.org/officeDocument/2006/relationships/image" Target="media/image14.wmf"/><Relationship Id="rId34" Type="http://schemas.openxmlformats.org/officeDocument/2006/relationships/oleObject" Target="embeddings/oleObject14.bin"/><Relationship Id="rId33" Type="http://schemas.openxmlformats.org/officeDocument/2006/relationships/image" Target="media/image13.wmf"/><Relationship Id="rId32" Type="http://schemas.openxmlformats.org/officeDocument/2006/relationships/oleObject" Target="embeddings/oleObject13.bin"/><Relationship Id="rId31" Type="http://schemas.openxmlformats.org/officeDocument/2006/relationships/image" Target="media/image12.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1.bin"/><Relationship Id="rId27" Type="http://schemas.openxmlformats.org/officeDocument/2006/relationships/image" Target="media/image10.wmf"/><Relationship Id="rId26" Type="http://schemas.openxmlformats.org/officeDocument/2006/relationships/oleObject" Target="embeddings/oleObject10.bin"/><Relationship Id="rId25" Type="http://schemas.openxmlformats.org/officeDocument/2006/relationships/image" Target="media/image9.wmf"/><Relationship Id="rId24" Type="http://schemas.openxmlformats.org/officeDocument/2006/relationships/oleObject" Target="embeddings/oleObject9.bin"/><Relationship Id="rId23" Type="http://schemas.openxmlformats.org/officeDocument/2006/relationships/image" Target="media/image8.wmf"/><Relationship Id="rId22" Type="http://schemas.openxmlformats.org/officeDocument/2006/relationships/oleObject" Target="embeddings/oleObject8.bin"/><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4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7BF80D-CDF8-49D0-A198-CB77035BD91F}">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1</Pages>
  <Words>910</Words>
  <Characters>5188</Characters>
  <Lines>43</Lines>
  <Paragraphs>12</Paragraphs>
  <TotalTime>5</TotalTime>
  <ScaleCrop>false</ScaleCrop>
  <LinksUpToDate>false</LinksUpToDate>
  <CharactersWithSpaces>6086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2019-06-19T09:48:00Z</dcterms:created>
  <dc:creator>CNIS</dc:creator>
  <cp:lastModifiedBy>Administrator</cp:lastModifiedBy>
  <cp:lastPrinted>2015-06-18T03:21:00Z</cp:lastPrinted>
  <dcterms:modified xsi:type="dcterms:W3CDTF">2021-08-30T07:53:25Z</dcterms:modified>
  <dc:title>标准名称</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A2846D32A7834E6CAA5C3F6C7B2F52BA</vt:lpwstr>
  </property>
</Properties>
</file>